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sectPr>
          <w:headerReference r:id="rId4" w:type="first"/>
          <w:footerReference r:id="rId6" w:type="first"/>
          <w:headerReference r:id="rId3" w:type="default"/>
          <w:footerReference r:id="rId5" w:type="default"/>
          <w:pgSz w:w="11906" w:h="16838"/>
          <w:pgMar w:top="0" w:right="0" w:bottom="0" w:left="0" w:header="851" w:footer="992" w:gutter="0"/>
          <w:pgNumType w:fmt="decimal"/>
          <w:cols w:space="425" w:num="1"/>
          <w:titlePg/>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eastAsia="宋体" w:cs="楷体_GB2312" w:ascii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75648;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eastAsia="宋体" w:cs="楷体_GB2312" w:ascii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71552;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8179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8076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73600"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73600;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82816"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366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74624;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Pr>
        <w:rPr>
          <w:color w:val="000000" w:themeColor="text1"/>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ab/>
      </w:r>
    </w:p>
    <w:p>
      <w:pPr>
        <w:rPr>
          <w:rFonts w:ascii="黑体" w:hAnsi="黑体" w:eastAsia="黑体" w:cs="黑体"/>
          <w:color w:val="000000" w:themeColor="text1"/>
          <w:sz w:val="56"/>
          <w:szCs w:val="72"/>
          <w14:textFill>
            <w14:solidFill>
              <w14:schemeClr w14:val="tx1"/>
            </w14:solidFill>
          </w14:textFill>
        </w:rPr>
      </w:pPr>
    </w:p>
    <w:p>
      <w:pPr>
        <w:rPr>
          <w:rFonts w:ascii="黑体" w:hAnsi="黑体" w:eastAsia="黑体" w:cs="黑体"/>
          <w:b/>
          <w:bCs/>
          <w:color w:val="000000" w:themeColor="text1"/>
          <w:sz w:val="72"/>
          <w:szCs w:val="96"/>
          <w14:textFill>
            <w14:solidFill>
              <w14:schemeClr w14:val="tx1"/>
            </w14:solidFill>
          </w14:textFill>
        </w:rPr>
      </w:pPr>
      <w:r>
        <w:rPr>
          <w:rFonts w:hint="eastAsia" w:ascii="黑体" w:hAnsi="黑体" w:eastAsia="黑体" w:cs="黑体"/>
          <w:b/>
          <w:bCs/>
          <w:color w:val="000000" w:themeColor="text1"/>
          <w:sz w:val="72"/>
          <w:szCs w:val="96"/>
          <w14:textFill>
            <w14:solidFill>
              <w14:schemeClr w14:val="tx1"/>
            </w14:solidFill>
          </w14:textFill>
        </w:rPr>
        <w:t>2019年度部门决算公开文本</w:t>
      </w:r>
    </w:p>
    <w:p>
      <w:pPr>
        <w:spacing w:line="36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both"/>
        <w:rPr>
          <w:rFonts w:ascii="黑体" w:hAnsi="黑体" w:eastAsia="黑体" w:cs="黑体"/>
          <w:color w:val="000000" w:themeColor="text1"/>
          <w:sz w:val="56"/>
          <w:szCs w:val="72"/>
          <w14:textFill>
            <w14:solidFill>
              <w14:schemeClr w14:val="tx1"/>
            </w14:solidFill>
          </w14:textFill>
        </w:rPr>
      </w:pPr>
    </w:p>
    <w:p>
      <w:pPr>
        <w:snapToGrid w:val="0"/>
        <w:jc w:val="center"/>
        <w:rPr>
          <w:rFonts w:hint="eastAsia" w:ascii="楷体_GB2312" w:hAnsi="楷体_GB2312" w:eastAsia="楷体_GB2312" w:cs="楷体_GB2312"/>
          <w:color w:val="000000" w:themeColor="text1"/>
          <w:kern w:val="0"/>
          <w:sz w:val="44"/>
          <w:szCs w:val="44"/>
          <w:highlight w:val="none"/>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大厂回族自治县</w:t>
      </w:r>
      <w:r>
        <w:rPr>
          <w:rFonts w:hint="eastAsia" w:ascii="楷体_GB2312" w:hAnsi="楷体_GB2312" w:eastAsia="楷体_GB2312" w:cs="楷体_GB2312"/>
          <w:color w:val="000000" w:themeColor="text1"/>
          <w:kern w:val="0"/>
          <w:sz w:val="44"/>
          <w:szCs w:val="44"/>
          <w:highlight w:val="none"/>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城市管理综合行政执法局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8" w:type="first"/>
          <w:footerReference r:id="rId9" w:type="first"/>
          <w:headerReference r:id="rId7" w:type="default"/>
          <w:type w:val="continuous"/>
          <w:pgSz w:w="11906" w:h="16838"/>
          <w:pgMar w:top="2041" w:right="1531" w:bottom="2041" w:left="1531" w:header="851" w:footer="992" w:gutter="0"/>
          <w:pgNumType w:fmt="decimal"/>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十一月</w:t>
      </w:r>
    </w:p>
    <w:p>
      <w:pPr>
        <w:keepNext w:val="0"/>
        <w:keepLines w:val="0"/>
        <w:pageBreakBefore w:val="0"/>
        <w:tabs>
          <w:tab w:val="left" w:pos="2728"/>
        </w:tabs>
        <w:kinsoku/>
        <w:wordWrap/>
        <w:overflowPunct/>
        <w:topLinePunct w:val="0"/>
        <w:autoSpaceDE/>
        <w:autoSpaceDN/>
        <w:bidi w:val="0"/>
        <w:adjustRightInd/>
        <w:snapToGrid/>
        <w:spacing w:line="520" w:lineRule="exact"/>
        <w:jc w:val="center"/>
        <w:textAlignment w:val="auto"/>
        <w:rPr>
          <w:rFonts w:hint="eastAsia" w:ascii="黑体" w:hAnsi="Times New Roman" w:eastAsia="黑体" w:cs="Times New Roman"/>
          <w:color w:val="000000" w:themeColor="text1"/>
          <w:sz w:val="48"/>
          <w:szCs w:val="48"/>
          <w14:textFill>
            <w14:solidFill>
              <w14:schemeClr w14:val="tx1"/>
            </w14:solidFill>
          </w14:textFill>
        </w:rPr>
      </w:pPr>
    </w:p>
    <w:p>
      <w:pPr>
        <w:keepNext w:val="0"/>
        <w:keepLines w:val="0"/>
        <w:pageBreakBefore w:val="0"/>
        <w:tabs>
          <w:tab w:val="left" w:pos="2728"/>
        </w:tabs>
        <w:kinsoku/>
        <w:wordWrap/>
        <w:overflowPunct/>
        <w:topLinePunct w:val="0"/>
        <w:autoSpaceDE/>
        <w:autoSpaceDN/>
        <w:bidi w:val="0"/>
        <w:adjustRightInd/>
        <w:snapToGrid/>
        <w:spacing w:line="520" w:lineRule="exact"/>
        <w:jc w:val="center"/>
        <w:textAlignment w:val="auto"/>
        <w:rPr>
          <w:rFonts w:hint="eastAsia" w:ascii="黑体" w:hAnsi="Times New Roman" w:eastAsia="黑体" w:cs="Times New Roman"/>
          <w:color w:val="000000" w:themeColor="text1"/>
          <w:sz w:val="48"/>
          <w:szCs w:val="48"/>
          <w14:textFill>
            <w14:solidFill>
              <w14:schemeClr w14:val="tx1"/>
            </w14:solidFill>
          </w14:textFill>
        </w:rPr>
      </w:pPr>
    </w:p>
    <w:p>
      <w:pPr>
        <w:keepNext w:val="0"/>
        <w:keepLines w:val="0"/>
        <w:pageBreakBefore w:val="0"/>
        <w:tabs>
          <w:tab w:val="left" w:pos="2728"/>
        </w:tabs>
        <w:kinsoku/>
        <w:wordWrap/>
        <w:overflowPunct/>
        <w:topLinePunct w:val="0"/>
        <w:autoSpaceDE/>
        <w:autoSpaceDN/>
        <w:bidi w:val="0"/>
        <w:adjustRightInd/>
        <w:snapToGrid/>
        <w:spacing w:line="520" w:lineRule="exact"/>
        <w:jc w:val="center"/>
        <w:textAlignment w:val="auto"/>
        <w:rPr>
          <w:rFonts w:hint="eastAsia" w:ascii="黑体" w:hAnsi="Times New Roman" w:eastAsia="黑体" w:cs="Times New Roman"/>
          <w:color w:val="000000" w:themeColor="text1"/>
          <w:sz w:val="48"/>
          <w:szCs w:val="48"/>
          <w14:textFill>
            <w14:solidFill>
              <w14:schemeClr w14:val="tx1"/>
            </w14:solidFill>
          </w14:textFill>
        </w:rPr>
      </w:pPr>
    </w:p>
    <w:p>
      <w:pPr>
        <w:keepNext w:val="0"/>
        <w:keepLines w:val="0"/>
        <w:pageBreakBefore w:val="0"/>
        <w:tabs>
          <w:tab w:val="left" w:pos="2728"/>
        </w:tabs>
        <w:kinsoku/>
        <w:wordWrap/>
        <w:overflowPunct/>
        <w:topLinePunct w:val="0"/>
        <w:autoSpaceDE/>
        <w:autoSpaceDN/>
        <w:bidi w:val="0"/>
        <w:adjustRightInd/>
        <w:snapToGrid/>
        <w:spacing w:line="520" w:lineRule="exact"/>
        <w:jc w:val="center"/>
        <w:textAlignment w:val="auto"/>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目    录</w:t>
      </w: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仿宋_GB2312" w:cs="Times New Roman"/>
          <w:color w:val="000000" w:themeColor="text1"/>
          <w:sz w:val="24"/>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第一部分   部门概况</w:t>
      </w:r>
    </w:p>
    <w:p>
      <w:pPr>
        <w:keepNext w:val="0"/>
        <w:keepLines w:val="0"/>
        <w:pageBreakBefore w:val="0"/>
        <w:widowControl/>
        <w:kinsoku/>
        <w:wordWrap/>
        <w:overflowPunct/>
        <w:topLinePunct w:val="0"/>
        <w:autoSpaceDE/>
        <w:autoSpaceDN/>
        <w:bidi w:val="0"/>
        <w:adjustRightInd/>
        <w:snapToGrid/>
        <w:spacing w:after="160" w:line="520" w:lineRule="exact"/>
        <w:ind w:firstLine="1273" w:firstLineChars="398"/>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一、部门</w:t>
      </w:r>
      <w:r>
        <w:rPr>
          <w:rFonts w:hint="eastAsia" w:ascii="Times New Roman" w:hAnsi="Times New Roman" w:eastAsia="仿宋_GB2312" w:cs="Times New Roman"/>
          <w:color w:val="000000" w:themeColor="text1"/>
          <w:sz w:val="32"/>
          <w:szCs w:val="32"/>
          <w14:textFill>
            <w14:solidFill>
              <w14:schemeClr w14:val="tx1"/>
            </w14:solidFill>
          </w14:textFill>
        </w:rPr>
        <w:t>职责</w:t>
      </w:r>
    </w:p>
    <w:p>
      <w:pPr>
        <w:keepNext w:val="0"/>
        <w:keepLines w:val="0"/>
        <w:pageBreakBefore w:val="0"/>
        <w:widowControl/>
        <w:kinsoku/>
        <w:wordWrap/>
        <w:overflowPunct/>
        <w:topLinePunct w:val="0"/>
        <w:autoSpaceDE/>
        <w:autoSpaceDN/>
        <w:bidi w:val="0"/>
        <w:adjustRightInd/>
        <w:snapToGrid/>
        <w:spacing w:after="160" w:line="520" w:lineRule="exact"/>
        <w:ind w:firstLine="1273" w:firstLineChars="398"/>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w:t>
      </w:r>
      <w:r>
        <w:rPr>
          <w:rFonts w:hint="eastAsia" w:ascii="Times New Roman" w:hAnsi="Times New Roman" w:eastAsia="仿宋_GB2312" w:cs="Times New Roman"/>
          <w:color w:val="000000" w:themeColor="text1"/>
          <w:sz w:val="32"/>
          <w:szCs w:val="32"/>
          <w14:textFill>
            <w14:solidFill>
              <w14:schemeClr w14:val="tx1"/>
            </w14:solidFill>
          </w14:textFill>
        </w:rPr>
        <w:t>机构设置</w:t>
      </w: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第二部分   201</w:t>
      </w:r>
      <w:r>
        <w:rPr>
          <w:rFonts w:hint="eastAsia" w:ascii="Times New Roman" w:hAnsi="Times New Roman" w:eastAsia="黑体" w:cs="Times New Roman"/>
          <w:color w:val="000000" w:themeColor="text1"/>
          <w:sz w:val="32"/>
          <w:szCs w:val="32"/>
          <w14:textFill>
            <w14:solidFill>
              <w14:schemeClr w14:val="tx1"/>
            </w14:solidFill>
          </w14:textFill>
        </w:rPr>
        <w:t>9年度</w:t>
      </w:r>
      <w:r>
        <w:rPr>
          <w:rFonts w:ascii="Times New Roman" w:hAnsi="Times New Roman" w:eastAsia="黑体" w:cs="Times New Roman"/>
          <w:color w:val="000000" w:themeColor="text1"/>
          <w:sz w:val="32"/>
          <w:szCs w:val="32"/>
          <w14:textFill>
            <w14:solidFill>
              <w14:schemeClr w14:val="tx1"/>
            </w14:solidFill>
          </w14:textFill>
        </w:rPr>
        <w:t>部门决算情况说明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一、收入支出决算总体情况说明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二、收入决算情况说明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三、支出决算情况说明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四、财政拨款收入支出决算总体情况说明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五、一般公共预算</w:t>
      </w:r>
      <w:r>
        <w:rPr>
          <w:rFonts w:ascii="Times New Roman" w:hAnsi="Times New Roman" w:eastAsia="仿宋_GB2312" w:cs="Times New Roman"/>
          <w:color w:val="000000" w:themeColor="text1"/>
          <w:sz w:val="32"/>
          <w:szCs w:val="32"/>
          <w14:textFill>
            <w14:solidFill>
              <w14:schemeClr w14:val="tx1"/>
            </w14:solidFill>
          </w14:textFill>
        </w:rPr>
        <w:t>“三公”经费支出决算情况说明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六</w:t>
      </w:r>
      <w:r>
        <w:rPr>
          <w:rFonts w:ascii="Times New Roman" w:hAnsi="Times New Roman" w:eastAsia="仿宋_GB2312" w:cs="Times New Roman"/>
          <w:color w:val="000000" w:themeColor="text1"/>
          <w:sz w:val="32"/>
          <w:szCs w:val="32"/>
          <w14:textFill>
            <w14:solidFill>
              <w14:schemeClr w14:val="tx1"/>
            </w14:solidFill>
          </w14:textFill>
        </w:rPr>
        <w:t>、其他重要事项的说明</w:t>
      </w: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第三部分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名词解释</w:t>
      </w: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w:t>
      </w:r>
      <w:r>
        <w:rPr>
          <w:rFonts w:hint="eastAsia" w:ascii="Times New Roman" w:hAnsi="Times New Roman" w:eastAsia="黑体" w:cs="Times New Roman"/>
          <w:color w:val="000000" w:themeColor="text1"/>
          <w:sz w:val="32"/>
          <w:szCs w:val="32"/>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201</w:t>
      </w:r>
      <w:r>
        <w:rPr>
          <w:rFonts w:hint="eastAsia" w:ascii="Times New Roman" w:hAnsi="Times New Roman" w:eastAsia="黑体" w:cs="Times New Roman"/>
          <w:color w:val="000000" w:themeColor="text1"/>
          <w:sz w:val="32"/>
          <w:szCs w:val="32"/>
          <w14:textFill>
            <w14:solidFill>
              <w14:schemeClr w14:val="tx1"/>
            </w14:solidFill>
          </w14:textFill>
        </w:rPr>
        <w:t>9</w:t>
      </w:r>
      <w:r>
        <w:rPr>
          <w:rFonts w:ascii="Times New Roman" w:hAnsi="Times New Roman" w:eastAsia="黑体" w:cs="Times New Roman"/>
          <w:color w:val="000000" w:themeColor="text1"/>
          <w:sz w:val="32"/>
          <w:szCs w:val="32"/>
          <w14:textFill>
            <w14:solidFill>
              <w14:schemeClr w14:val="tx1"/>
            </w14:solidFill>
          </w14:textFill>
        </w:rPr>
        <w:t>年度部门决算报表</w:t>
      </w:r>
    </w:p>
    <w:p>
      <w:pPr>
        <w:keepNext w:val="0"/>
        <w:keepLines w:val="0"/>
        <w:pageBreakBefore w:val="0"/>
        <w:widowControl/>
        <w:kinsoku/>
        <w:wordWrap/>
        <w:overflowPunct/>
        <w:topLinePunct w:val="0"/>
        <w:autoSpaceDE/>
        <w:autoSpaceDN/>
        <w:bidi w:val="0"/>
        <w:adjustRightInd/>
        <w:snapToGrid/>
        <w:spacing w:after="160" w:line="520" w:lineRule="exact"/>
        <w:ind w:firstLine="640" w:firstLineChars="200"/>
        <w:textAlignment w:val="auto"/>
        <w:rPr>
          <w:rFonts w:ascii="Times New Roman" w:hAnsi="Times New Roman" w:eastAsia="仿宋_GB2312" w:cs="Times New Roman"/>
          <w:color w:val="000000" w:themeColor="text1"/>
          <w:sz w:val="20"/>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第五</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预算绩效</w:t>
      </w:r>
      <w:r>
        <w:rPr>
          <w:rFonts w:ascii="Times New Roman" w:hAnsi="Times New Roman" w:eastAsia="黑体" w:cs="Times New Roman"/>
          <w:color w:val="000000" w:themeColor="text1"/>
          <w:sz w:val="32"/>
          <w:szCs w:val="32"/>
          <w14:textFill>
            <w14:solidFill>
              <w14:schemeClr w14:val="tx1"/>
            </w14:solidFill>
          </w14:textFill>
        </w:rPr>
        <w:t>公开内容</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、预算绩效情况说明</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预算</w:t>
      </w:r>
      <w:r>
        <w:rPr>
          <w:rFonts w:ascii="Times New Roman" w:hAnsi="Times New Roman" w:eastAsia="仿宋_GB2312" w:cs="Times New Roman"/>
          <w:color w:val="000000" w:themeColor="text1"/>
          <w:sz w:val="32"/>
          <w:szCs w:val="32"/>
          <w14:textFill>
            <w14:solidFill>
              <w14:schemeClr w14:val="tx1"/>
            </w14:solidFill>
          </w14:textFill>
        </w:rPr>
        <w:t>绩效公开表格</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项目支出绩效自评表</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部门（单位）整体绩效自评表</w:t>
      </w:r>
    </w:p>
    <w:p>
      <w:pPr>
        <w:keepNext w:val="0"/>
        <w:keepLines w:val="0"/>
        <w:pageBreakBefore w:val="0"/>
        <w:widowControl/>
        <w:kinsoku/>
        <w:wordWrap/>
        <w:overflowPunct/>
        <w:topLinePunct w:val="0"/>
        <w:autoSpaceDE/>
        <w:autoSpaceDN/>
        <w:bidi w:val="0"/>
        <w:adjustRightInd/>
        <w:snapToGrid/>
        <w:spacing w:after="160" w:line="520" w:lineRule="exact"/>
        <w:ind w:left="640"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sectPr>
          <w:headerReference r:id="rId11" w:type="first"/>
          <w:footerReference r:id="rId13" w:type="first"/>
          <w:headerReference r:id="rId10" w:type="default"/>
          <w:footerReference r:id="rId12" w:type="default"/>
          <w:type w:val="continuous"/>
          <w:pgSz w:w="11906" w:h="16838"/>
          <w:pgMar w:top="2041" w:right="1531" w:bottom="2041" w:left="1531" w:header="851" w:footer="992" w:gutter="0"/>
          <w:pgNumType w:fmt="decimal"/>
          <w:cols w:space="0" w:num="1"/>
          <w:titlePg/>
          <w:docGrid w:type="lines" w:linePitch="312" w:charSpace="0"/>
        </w:sectPr>
      </w:pPr>
    </w:p>
    <w:p>
      <w:pPr>
        <w:rPr>
          <w:color w:val="000000" w:themeColor="text1"/>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83840;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31"/>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rPr>
          <w:color w:val="000000" w:themeColor="text1"/>
          <w14:textFill>
            <w14:solidFill>
              <w14:schemeClr w14:val="tx1"/>
            </w14:solidFill>
          </w14:textFill>
        </w:rPr>
        <w:br w:type="page"/>
      </w:r>
    </w:p>
    <w:p>
      <w:pPr>
        <w:pStyle w:val="3"/>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eastAsia="仿宋_GB2312"/>
          <w:sz w:val="32"/>
          <w:szCs w:val="32"/>
        </w:rPr>
        <w:t>（一）贯彻落实国家和省、市、县关于城市管理综合行政执法工作的法律、法规、规章及相关政策；</w:t>
      </w:r>
      <w:r>
        <w:rPr>
          <w:rFonts w:hint="eastAsia" w:eastAsia="仿宋_GB2312"/>
          <w:bCs/>
          <w:sz w:val="32"/>
          <w:szCs w:val="32"/>
        </w:rPr>
        <w:t>拟定全县城市管理综合行政执法的地方性法规、规章草案，制定相关政策、制度和发展规划</w:t>
      </w:r>
      <w:r>
        <w:rPr>
          <w:rFonts w:hint="eastAsia" w:eastAsia="仿宋_GB2312"/>
          <w:sz w:val="32"/>
          <w:szCs w:val="32"/>
        </w:rPr>
        <w:t>并组织实施；统筹全县城市管</w:t>
      </w:r>
      <w:r>
        <w:rPr>
          <w:rFonts w:hint="eastAsia" w:ascii="仿宋_GB2312" w:eastAsia="仿宋_GB2312"/>
          <w:sz w:val="32"/>
          <w:szCs w:val="32"/>
        </w:rPr>
        <w:t>理综合行政执法的改革与发展。</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32"/>
        </w:rPr>
      </w:pPr>
      <w:r>
        <w:rPr>
          <w:rFonts w:hint="eastAsia" w:eastAsia="仿宋_GB2312"/>
          <w:sz w:val="32"/>
          <w:szCs w:val="32"/>
        </w:rPr>
        <w:t>（二）行使市容环境卫生管理方面法律、法规、规章规定的全部行政处罚权；履行市容环境卫生管理方面法律、法规、规章规定的有关职责。</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32"/>
        </w:rPr>
      </w:pPr>
      <w:r>
        <w:rPr>
          <w:rFonts w:hint="eastAsia" w:eastAsia="仿宋_GB2312"/>
          <w:sz w:val="32"/>
          <w:szCs w:val="32"/>
        </w:rPr>
        <w:t>（三）</w:t>
      </w:r>
      <w:r>
        <w:rPr>
          <w:rFonts w:eastAsia="仿宋_GB2312"/>
          <w:sz w:val="32"/>
          <w:szCs w:val="32"/>
        </w:rPr>
        <w:t>行使城乡规划管理方面法律、法规、规章规定的全部行政处罚权。</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32"/>
        </w:rPr>
      </w:pPr>
      <w:r>
        <w:rPr>
          <w:rFonts w:hint="eastAsia" w:eastAsia="仿宋_GB2312"/>
          <w:sz w:val="32"/>
          <w:szCs w:val="32"/>
        </w:rPr>
        <w:t>（四）行使城市绿化管理方面法律、法规、规章规定的全部行政处罚权。</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32"/>
        </w:rPr>
      </w:pPr>
      <w:r>
        <w:rPr>
          <w:rFonts w:hint="eastAsia" w:eastAsia="仿宋_GB2312"/>
          <w:sz w:val="32"/>
          <w:szCs w:val="32"/>
        </w:rPr>
        <w:t>（五）行使</w:t>
      </w:r>
      <w:r>
        <w:rPr>
          <w:rFonts w:eastAsia="仿宋_GB2312"/>
          <w:sz w:val="32"/>
          <w:szCs w:val="32"/>
        </w:rPr>
        <w:t>市场监督</w:t>
      </w:r>
      <w:r>
        <w:rPr>
          <w:rFonts w:hint="eastAsia" w:eastAsia="仿宋_GB2312"/>
          <w:sz w:val="32"/>
          <w:szCs w:val="32"/>
        </w:rPr>
        <w:t>管理方面法律、法规、规章规定的对</w:t>
      </w:r>
      <w:r>
        <w:rPr>
          <w:rFonts w:eastAsia="仿宋_GB2312"/>
          <w:sz w:val="32"/>
          <w:szCs w:val="32"/>
        </w:rPr>
        <w:t>户外公共场所无照经营行为</w:t>
      </w:r>
      <w:r>
        <w:rPr>
          <w:rFonts w:hint="eastAsia" w:eastAsia="仿宋_GB2312"/>
          <w:sz w:val="32"/>
          <w:szCs w:val="32"/>
        </w:rPr>
        <w:t>的行政处罚权。</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32"/>
        </w:rPr>
      </w:pPr>
      <w:r>
        <w:rPr>
          <w:rFonts w:hint="eastAsia" w:eastAsia="仿宋_GB2312"/>
          <w:sz w:val="32"/>
          <w:szCs w:val="32"/>
        </w:rPr>
        <w:t>（六）行使市政、公用设施管理方面法律、法规、规章规定的全部行政处罚权。</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bCs/>
          <w:sz w:val="32"/>
          <w:szCs w:val="32"/>
        </w:rPr>
      </w:pPr>
      <w:r>
        <w:rPr>
          <w:rFonts w:hint="eastAsia" w:eastAsia="仿宋_GB2312"/>
          <w:sz w:val="32"/>
          <w:szCs w:val="32"/>
        </w:rPr>
        <w:t xml:space="preserve"> (七) </w:t>
      </w:r>
      <w:r>
        <w:rPr>
          <w:rFonts w:eastAsia="仿宋_GB2312"/>
          <w:sz w:val="32"/>
          <w:szCs w:val="32"/>
        </w:rPr>
        <w:t>负责</w:t>
      </w:r>
      <w:r>
        <w:rPr>
          <w:rFonts w:hint="eastAsia" w:eastAsia="仿宋_GB2312"/>
          <w:bCs/>
          <w:sz w:val="32"/>
          <w:szCs w:val="32"/>
        </w:rPr>
        <w:t>编制城区户外广告、招牌设置规划和技术规范；负责城区户外广告和张贴张挂宣传品的审批、监督和管理工作。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b w:val="0"/>
          <w:bCs w:val="0"/>
          <w:sz w:val="32"/>
          <w:szCs w:val="32"/>
        </w:rPr>
      </w:pPr>
      <w:r>
        <w:rPr>
          <w:rFonts w:hint="eastAsia" w:eastAsia="仿宋_GB2312"/>
          <w:sz w:val="32"/>
        </w:rPr>
        <w:t>（八）依据有关法律、法规、规章，负责城市管理相关规定、通告、通知等规范性文件的起草、宣传、贯彻落实工作。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32"/>
        </w:rPr>
      </w:pPr>
      <w:r>
        <w:rPr>
          <w:rFonts w:hint="eastAsia" w:eastAsia="仿宋_GB2312"/>
          <w:sz w:val="32"/>
          <w:szCs w:val="32"/>
        </w:rPr>
        <w:t>（九）负责数字化城市管理监督指挥中心和全县网格化监督指挥中心的日常运行工作。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32"/>
        </w:rPr>
      </w:pPr>
      <w:r>
        <w:rPr>
          <w:rFonts w:hint="eastAsia" w:eastAsia="仿宋_GB2312"/>
          <w:sz w:val="32"/>
          <w:szCs w:val="32"/>
        </w:rPr>
        <w:t>（十）负责县政府安排的有关市政工程建设方面的工作职能。</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32"/>
        </w:rPr>
      </w:pPr>
      <w:r>
        <w:rPr>
          <w:rFonts w:hint="eastAsia" w:eastAsia="仿宋_GB2312"/>
          <w:sz w:val="32"/>
          <w:szCs w:val="32"/>
        </w:rPr>
        <w:t>（十一）负责县城、夏垫102国道、李大线等各街（路）的路灯维修管护工作。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32"/>
        </w:rPr>
      </w:pPr>
      <w:r>
        <w:rPr>
          <w:rFonts w:hint="eastAsia" w:eastAsia="仿宋_GB2312"/>
          <w:sz w:val="32"/>
          <w:szCs w:val="32"/>
        </w:rPr>
        <w:t>（十二）负责对全县农村环卫工作的监督考核工作。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32"/>
        </w:rPr>
      </w:pPr>
      <w:r>
        <w:rPr>
          <w:rFonts w:hint="eastAsia" w:eastAsia="仿宋_GB2312"/>
          <w:sz w:val="32"/>
          <w:szCs w:val="32"/>
        </w:rPr>
        <w:t>（十三）负责受理上级批转的信访案件和群众举报案件及办理人大、政协建议、提案工作。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32"/>
        </w:rPr>
      </w:pPr>
      <w:r>
        <w:rPr>
          <w:rFonts w:hint="eastAsia" w:eastAsia="仿宋_GB2312"/>
          <w:sz w:val="32"/>
          <w:szCs w:val="32"/>
        </w:rPr>
        <w:t>（十四）负责对各镇（区、街道）城市管理综合行政执法工作的业务指导、检查、督导、协调等工作。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32"/>
        </w:rPr>
      </w:pPr>
      <w:r>
        <w:rPr>
          <w:rFonts w:hint="eastAsia" w:eastAsia="仿宋_GB2312"/>
          <w:sz w:val="32"/>
          <w:szCs w:val="32"/>
        </w:rPr>
        <w:t>（十五）负责干部职工思想政治教育及业务培训工作，局内党（团）员的发展、教育、管理工作，工青妇及安全保卫工作。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sz w:val="32"/>
          <w:szCs w:val="32"/>
        </w:rPr>
      </w:pPr>
      <w:r>
        <w:rPr>
          <w:rFonts w:hint="eastAsia" w:eastAsia="仿宋_GB2312"/>
          <w:sz w:val="32"/>
          <w:szCs w:val="32"/>
        </w:rPr>
        <w:t>（十六）履行法律、法规、规章或者省、市、县人民政府规定的其他职责。</w:t>
      </w:r>
    </w:p>
    <w:p>
      <w:pPr>
        <w:pStyle w:val="3"/>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pageBreakBefore w:val="0"/>
        <w:widowControl w:val="0"/>
        <w:kinsoku/>
        <w:wordWrap/>
        <w:overflowPunct/>
        <w:topLinePunct w:val="0"/>
        <w:autoSpaceDE/>
        <w:autoSpaceDN/>
        <w:bidi w:val="0"/>
        <w:adjustRightInd/>
        <w:snapToGrid/>
        <w:spacing w:after="0" w:line="580" w:lineRule="exact"/>
        <w:ind w:firstLine="640" w:firstLineChars="200"/>
        <w:textAlignment w:val="auto"/>
      </w:pPr>
      <w:r>
        <w:rPr>
          <w:rFonts w:hint="eastAsia" w:ascii="仿宋_GB2312" w:hAnsi="Cambria" w:eastAsia="仿宋_GB2312" w:cs="ArialUnicodeMS"/>
          <w:kern w:val="0"/>
          <w:sz w:val="32"/>
          <w:szCs w:val="32"/>
        </w:rPr>
        <w:t>从决算编报单位构成看，纳入</w:t>
      </w:r>
      <w:r>
        <w:rPr>
          <w:rFonts w:hint="eastAsia" w:ascii="仿宋_GB2312" w:hAnsi="Cambria" w:eastAsia="仿宋_GB2312" w:cs="ArialUnicodeMS"/>
          <w:kern w:val="0"/>
          <w:sz w:val="32"/>
          <w:szCs w:val="32"/>
          <w:lang w:eastAsia="zh-CN"/>
        </w:rPr>
        <w:t>2019</w:t>
      </w:r>
      <w:r>
        <w:rPr>
          <w:rFonts w:hint="eastAsia" w:ascii="仿宋_GB2312" w:hAnsi="Cambria" w:eastAsia="仿宋_GB2312" w:cs="ArialUnicodeMS"/>
          <w:kern w:val="0"/>
          <w:sz w:val="32"/>
          <w:szCs w:val="32"/>
        </w:rPr>
        <w:t xml:space="preserve"> 年度本部门决算汇编范围的独立核算单位（以下简称“单位”）共</w:t>
      </w:r>
      <w:r>
        <w:rPr>
          <w:rFonts w:hint="eastAsia" w:ascii="仿宋_GB2312" w:hAnsi="Cambria" w:eastAsia="仿宋_GB2312" w:cs="ArialUnicodeMS"/>
          <w:kern w:val="0"/>
          <w:sz w:val="32"/>
          <w:szCs w:val="32"/>
          <w:lang w:val="en-US" w:eastAsia="zh-CN"/>
        </w:rPr>
        <w:t>2</w:t>
      </w:r>
      <w:r>
        <w:rPr>
          <w:rFonts w:hint="eastAsia" w:ascii="仿宋_GB2312" w:hAnsi="Cambria" w:eastAsia="仿宋_GB2312" w:cs="ArialUnicodeMS"/>
          <w:kern w:val="0"/>
          <w:sz w:val="32"/>
          <w:szCs w:val="32"/>
        </w:rPr>
        <w:t>个，具体情况如下：</w:t>
      </w:r>
    </w:p>
    <w:tbl>
      <w:tblPr>
        <w:tblStyle w:val="9"/>
        <w:tblpPr w:leftFromText="180" w:rightFromText="180" w:vertAnchor="text" w:horzAnchor="page" w:tblpXSpec="center" w:tblpY="10"/>
        <w:tblOverlap w:val="never"/>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4006"/>
        <w:gridCol w:w="2467"/>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27"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4006"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67"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1748"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927" w:type="dxa"/>
            <w:vAlign w:val="center"/>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w:t>
            </w:r>
          </w:p>
        </w:tc>
        <w:tc>
          <w:tcPr>
            <w:tcW w:w="400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default"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大厂回族自治县城市管理综合行政执法局（本级）</w:t>
            </w:r>
          </w:p>
        </w:tc>
        <w:tc>
          <w:tcPr>
            <w:tcW w:w="2467" w:type="dxa"/>
            <w:vAlign w:val="center"/>
          </w:tcPr>
          <w:p>
            <w:pPr>
              <w:spacing w:after="0" w:line="560" w:lineRule="exact"/>
              <w:jc w:val="center"/>
              <w:rPr>
                <w:rFonts w:hint="default"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行政单位</w:t>
            </w:r>
          </w:p>
        </w:tc>
        <w:tc>
          <w:tcPr>
            <w:tcW w:w="1748" w:type="dxa"/>
            <w:vAlign w:val="center"/>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27" w:type="dxa"/>
            <w:vAlign w:val="center"/>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2</w:t>
            </w:r>
          </w:p>
        </w:tc>
        <w:tc>
          <w:tcPr>
            <w:tcW w:w="400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大厂回族自治县城市管理综合行政执法局市政管理所</w:t>
            </w:r>
          </w:p>
        </w:tc>
        <w:tc>
          <w:tcPr>
            <w:tcW w:w="2467" w:type="dxa"/>
            <w:vAlign w:val="center"/>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财政补助</w:t>
            </w:r>
            <w:bookmarkStart w:id="0" w:name="_GoBack"/>
            <w:bookmarkEnd w:id="0"/>
            <w:r>
              <w:rPr>
                <w:rFonts w:hint="eastAsia" w:ascii="仿宋_GB2312" w:hAnsi="Cambria" w:eastAsia="仿宋_GB2312" w:cs="ArialUnicodeMS"/>
                <w:kern w:val="0"/>
                <w:sz w:val="28"/>
                <w:szCs w:val="28"/>
                <w:lang w:val="en-US" w:eastAsia="zh-CN"/>
              </w:rPr>
              <w:t>事业单位</w:t>
            </w:r>
          </w:p>
        </w:tc>
        <w:tc>
          <w:tcPr>
            <w:tcW w:w="1748" w:type="dxa"/>
            <w:vAlign w:val="center"/>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财政拨款</w:t>
            </w:r>
          </w:p>
        </w:tc>
      </w:tr>
    </w:tbl>
    <w:p>
      <w:pPr>
        <w:widowControl/>
        <w:spacing w:after="160" w:line="580" w:lineRule="exact"/>
        <w:ind w:firstLine="1440" w:firstLineChars="200"/>
        <w:rPr>
          <w:rFonts w:ascii="Times New Roman" w:hAnsi="Times New Roman" w:eastAsia="黑体" w:cs="Times New Roman"/>
          <w:color w:val="000000" w:themeColor="text1"/>
          <w:sz w:val="32"/>
          <w:szCs w:val="32"/>
          <w14:textFill>
            <w14:solidFill>
              <w14:schemeClr w14:val="tx1"/>
            </w14:solidFill>
          </w14:textFill>
        </w:rPr>
        <w:sectPr>
          <w:footerReference r:id="rId16" w:type="first"/>
          <w:headerReference r:id="rId14" w:type="default"/>
          <w:footerReference r:id="rId15" w:type="default"/>
          <w:pgSz w:w="11906" w:h="16838"/>
          <w:pgMar w:top="2041" w:right="1531" w:bottom="2041" w:left="1531" w:header="851" w:footer="992" w:gutter="0"/>
          <w:pgNumType w:fmt="decimal"/>
          <w:cols w:space="0" w:num="1"/>
          <w:titlePg/>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8486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85888;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o:title="5%" focussize="0,0" r:id="rId31"/>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一、收入</w:t>
      </w:r>
      <w:r>
        <w:rPr>
          <w:rFonts w:hint="eastAsia" w:ascii="黑体" w:hAnsi="Cambria" w:eastAsia="黑体" w:cs="黑体"/>
          <w:color w:val="000000" w:themeColor="text1"/>
          <w:kern w:val="0"/>
          <w:sz w:val="32"/>
          <w:szCs w:val="32"/>
          <w14:textFill>
            <w14:solidFill>
              <w14:schemeClr w14:val="tx1"/>
            </w14:solidFill>
          </w14:textFill>
        </w:rPr>
        <w:t>支出</w:t>
      </w:r>
      <w:r>
        <w:rPr>
          <w:rFonts w:hint="eastAsia" w:ascii="黑体" w:hAnsi="Calibri" w:eastAsia="黑体" w:cs="Times New Roman"/>
          <w:color w:val="000000" w:themeColor="text1"/>
          <w:sz w:val="32"/>
          <w:szCs w:val="32"/>
          <w14:textFill>
            <w14:solidFill>
              <w14:schemeClr w14:val="tx1"/>
            </w14:solidFill>
          </w14:textFill>
        </w:rPr>
        <w:t>决算总体情况说明</w:t>
      </w:r>
    </w:p>
    <w:p>
      <w:pPr>
        <w:adjustRightInd w:val="0"/>
        <w:snapToGrid w:val="0"/>
        <w:spacing w:after="0" w:line="580" w:lineRule="exact"/>
        <w:ind w:firstLine="640" w:firstLineChars="200"/>
        <w:rPr>
          <w:rFonts w:hint="default" w:ascii="仿宋_GB2312" w:eastAsia="仿宋_GB2312" w:cs="DengXian-Regular"/>
          <w:sz w:val="32"/>
          <w:szCs w:val="32"/>
          <w:highlight w:val="yellow"/>
          <w:lang w:val="en-US"/>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本部门2019年度收支总计（含结转和结余）</w:t>
      </w:r>
      <w:r>
        <w:rPr>
          <w:rFonts w:hint="eastAsia" w:ascii="仿宋_GB2312" w:eastAsia="仿宋_GB2312" w:cs="DengXian-Regular"/>
          <w:sz w:val="32"/>
          <w:szCs w:val="32"/>
          <w:lang w:val="en-US" w:eastAsia="zh-CN"/>
        </w:rPr>
        <w:t>7089.42</w:t>
      </w:r>
      <w:r>
        <w:rPr>
          <w:rFonts w:hint="eastAsia" w:ascii="仿宋_GB2312" w:hAnsi="Times New Roman" w:eastAsia="仿宋_GB2312" w:cs="DengXian-Regular"/>
          <w:color w:val="000000" w:themeColor="text1"/>
          <w:sz w:val="32"/>
          <w:szCs w:val="32"/>
          <w14:textFill>
            <w14:solidFill>
              <w14:schemeClr w14:val="tx1"/>
            </w14:solidFill>
          </w14:textFill>
        </w:rPr>
        <w:t>万元。与2018年度决算相比，收支各</w:t>
      </w:r>
      <w:r>
        <w:rPr>
          <w:rFonts w:hint="eastAsia" w:ascii="仿宋_GB2312" w:eastAsia="仿宋_GB2312" w:cs="DengXian-Regular"/>
          <w:sz w:val="32"/>
          <w:szCs w:val="32"/>
          <w:lang w:val="en-US" w:eastAsia="zh-CN"/>
        </w:rPr>
        <w:t>减少1993.19万元，减少21.95%，主要原因是节省了基本支出。</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年度本年收入合计</w:t>
      </w:r>
      <w:r>
        <w:rPr>
          <w:rFonts w:hint="eastAsia" w:ascii="仿宋_GB2312" w:eastAsia="仿宋_GB2312" w:cs="DengXian-Regular"/>
          <w:sz w:val="32"/>
          <w:szCs w:val="32"/>
          <w:lang w:val="en-US" w:eastAsia="zh-CN"/>
        </w:rPr>
        <w:t>6234.36</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6234.36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r>
        <w:rPr>
          <w:rFonts w:hint="eastAsia" w:ascii="宋体" w:hAnsi="宋体" w:cs="宋体"/>
          <w:sz w:val="32"/>
          <w:szCs w:val="32"/>
          <w:lang w:val="en-US" w:eastAsia="zh-CN"/>
        </w:rPr>
        <w:t xml:space="preserve">    </w:t>
      </w:r>
      <w:r>
        <w:drawing>
          <wp:inline distT="0" distB="0" distL="114300" distR="114300">
            <wp:extent cx="4572000" cy="2743200"/>
            <wp:effectExtent l="4445" t="4445" r="14605" b="14605"/>
            <wp:docPr id="16" name="图表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三、支出决算情况说明</w:t>
      </w:r>
    </w:p>
    <w:p>
      <w:pPr>
        <w:adjustRightInd w:val="0"/>
        <w:snapToGrid w:val="0"/>
        <w:spacing w:after="0" w:line="580" w:lineRule="exact"/>
        <w:ind w:firstLine="640" w:firstLineChars="200"/>
        <w:rPr>
          <w:rFonts w:hint="eastAsia" w:eastAsia="仿宋_GB2312"/>
          <w:lang w:eastAsia="zh-CN"/>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年度本年支出合计</w:t>
      </w:r>
      <w:r>
        <w:rPr>
          <w:rFonts w:hint="eastAsia" w:ascii="仿宋_GB2312" w:eastAsia="仿宋_GB2312" w:cs="DengXian-Regular"/>
          <w:sz w:val="32"/>
          <w:szCs w:val="32"/>
          <w:lang w:val="en-US" w:eastAsia="zh-CN"/>
        </w:rPr>
        <w:t>6732.90</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992.81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14.74</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5740.08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85.25</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p>
    <w:p>
      <w:pPr>
        <w:adjustRightInd w:val="0"/>
        <w:snapToGrid w:val="0"/>
        <w:spacing w:after="0" w:line="580" w:lineRule="exact"/>
        <w:jc w:val="center"/>
        <w:rPr>
          <w:rFonts w:ascii="宋体" w:hAnsi="宋体" w:cs="宋体"/>
          <w:sz w:val="32"/>
          <w:szCs w:val="32"/>
        </w:rPr>
      </w:pPr>
      <w:r>
        <w:rPr>
          <w:rFonts w:eastAsia="仿宋_GB2312"/>
          <w:sz w:val="32"/>
          <w:szCs w:val="32"/>
        </w:rPr>
        <w:t>图2：支出决算结构饼状图</w:t>
      </w:r>
    </w:p>
    <w:p>
      <w:pPr>
        <w:adjustRightInd w:val="0"/>
        <w:snapToGrid w:val="0"/>
        <w:spacing w:after="0" w:line="580" w:lineRule="exact"/>
        <w:ind w:firstLine="640" w:firstLineChars="200"/>
        <w:rPr>
          <w:rFonts w:ascii="宋体" w:hAnsi="宋体" w:cs="宋体"/>
          <w:sz w:val="32"/>
          <w:szCs w:val="32"/>
        </w:rPr>
      </w:pPr>
    </w:p>
    <w:p>
      <w:pPr>
        <w:pStyle w:val="2"/>
      </w:pPr>
      <w:r>
        <w:drawing>
          <wp:inline distT="0" distB="0" distL="114300" distR="114300">
            <wp:extent cx="4572000" cy="2743200"/>
            <wp:effectExtent l="4445" t="4445" r="14605" b="14605"/>
            <wp:docPr id="17" name="图表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四、</w:t>
      </w:r>
      <w:r>
        <w:rPr>
          <w:rFonts w:hint="eastAsia" w:ascii="黑体" w:hAnsi="Cambria" w:eastAsia="黑体" w:cs="黑体"/>
          <w:color w:val="000000" w:themeColor="text1"/>
          <w:kern w:val="0"/>
          <w:sz w:val="32"/>
          <w:szCs w:val="32"/>
          <w14:textFill>
            <w14:solidFill>
              <w14:schemeClr w14:val="tx1"/>
            </w14:solidFill>
          </w14:textFill>
        </w:rPr>
        <w:t>财政</w:t>
      </w:r>
      <w:r>
        <w:rPr>
          <w:rFonts w:hint="eastAsia" w:ascii="黑体" w:hAnsi="Calibri" w:eastAsia="黑体" w:cs="Times New Roman"/>
          <w:color w:val="000000" w:themeColor="text1"/>
          <w:sz w:val="32"/>
          <w:szCs w:val="32"/>
          <w14:textFill>
            <w14:solidFill>
              <w14:schemeClr w14:val="tx1"/>
            </w14:solidFill>
          </w14:textFill>
        </w:rPr>
        <w:t>拨款收入支出决算总体情况说明</w:t>
      </w:r>
    </w:p>
    <w:p>
      <w:pPr>
        <w:snapToGrid w:val="0"/>
        <w:spacing w:line="580" w:lineRule="exact"/>
        <w:ind w:firstLine="643" w:firstLineChars="200"/>
        <w:rPr>
          <w:rFonts w:ascii="仿宋_GB2312" w:hAnsi="Times New Roman" w:eastAsia="仿宋_GB2312" w:cs="DengXian-Regular"/>
          <w:color w:val="000000" w:themeColor="text1"/>
          <w:sz w:val="32"/>
          <w:szCs w:val="32"/>
          <w:highlight w:val="yellow"/>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（一）财政拨款收支与2018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年度形成的财政拨款收支均为一般公共预算财政拨款，其中本年收入</w:t>
      </w:r>
      <w:r>
        <w:rPr>
          <w:rFonts w:hint="eastAsia" w:ascii="仿宋_GB2312" w:eastAsia="仿宋_GB2312" w:cs="DengXian-Regular"/>
          <w:sz w:val="32"/>
          <w:szCs w:val="32"/>
          <w:lang w:val="en-US" w:eastAsia="zh-CN"/>
        </w:rPr>
        <w:t>6234.36</w:t>
      </w:r>
      <w:r>
        <w:rPr>
          <w:rFonts w:hint="eastAsia" w:ascii="仿宋_GB2312" w:eastAsia="仿宋_GB2312" w:cs="DengXian-Regular"/>
          <w:sz w:val="32"/>
          <w:szCs w:val="32"/>
        </w:rPr>
        <w:t>万元,比</w:t>
      </w:r>
      <w:r>
        <w:rPr>
          <w:rFonts w:hint="eastAsia" w:ascii="仿宋_GB2312" w:eastAsia="仿宋_GB2312" w:cs="DengXian-Regular"/>
          <w:sz w:val="32"/>
          <w:szCs w:val="32"/>
          <w:lang w:eastAsia="zh-CN"/>
        </w:rPr>
        <w:t>2018</w:t>
      </w:r>
      <w:r>
        <w:rPr>
          <w:rFonts w:hint="eastAsia" w:ascii="仿宋_GB2312" w:eastAsia="仿宋_GB2312" w:cs="DengXian-Regular"/>
          <w:sz w:val="32"/>
          <w:szCs w:val="32"/>
        </w:rPr>
        <w:t>年度减少</w:t>
      </w:r>
      <w:r>
        <w:rPr>
          <w:rFonts w:hint="eastAsia" w:ascii="仿宋_GB2312" w:eastAsia="仿宋_GB2312" w:cs="DengXian-Regular"/>
          <w:sz w:val="32"/>
          <w:szCs w:val="32"/>
          <w:lang w:val="en-US" w:eastAsia="zh-CN"/>
        </w:rPr>
        <w:t>1410.45</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22.62</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节省了基本支出</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6685.02</w:t>
      </w:r>
      <w:r>
        <w:rPr>
          <w:rFonts w:hint="eastAsia" w:ascii="仿宋_GB2312" w:eastAsia="仿宋_GB2312" w:cs="DengXian-Regular"/>
          <w:sz w:val="32"/>
          <w:szCs w:val="32"/>
        </w:rPr>
        <w:t>万元，减少</w:t>
      </w:r>
      <w:r>
        <w:rPr>
          <w:rFonts w:hint="eastAsia" w:ascii="仿宋_GB2312" w:eastAsia="仿宋_GB2312" w:cs="DengXian-Regular"/>
          <w:sz w:val="32"/>
          <w:szCs w:val="32"/>
          <w:lang w:val="en-US" w:eastAsia="zh-CN"/>
        </w:rPr>
        <w:t>1435.49</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17.57</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节省了基本支出</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图3：财政拨款收支情况</w:t>
      </w:r>
    </w:p>
    <w:p>
      <w:pPr>
        <w:pStyle w:val="2"/>
        <w:jc w:val="center"/>
        <w:rPr>
          <w:rFonts w:hint="eastAsia"/>
        </w:rPr>
      </w:pPr>
      <w:r>
        <w:drawing>
          <wp:inline distT="0" distB="0" distL="114300" distR="114300">
            <wp:extent cx="4232275" cy="2540000"/>
            <wp:effectExtent l="4445" t="4445" r="11430" b="8255"/>
            <wp:docPr id="18" name="图表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hAnsi="Times New Roman"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年度一般公共预算财政拨款收入</w:t>
      </w:r>
      <w:r>
        <w:rPr>
          <w:rFonts w:hint="eastAsia" w:ascii="仿宋_GB2312" w:eastAsia="仿宋_GB2312" w:cs="DengXian-Regular"/>
          <w:sz w:val="32"/>
          <w:szCs w:val="32"/>
          <w:lang w:val="en-US" w:eastAsia="zh-CN"/>
        </w:rPr>
        <w:t>6234.36</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118.31</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964.76</w:t>
      </w:r>
      <w:r>
        <w:rPr>
          <w:rFonts w:hint="eastAsia" w:ascii="仿宋_GB2312" w:eastAsia="仿宋_GB2312" w:cs="DengXian-Regular"/>
          <w:sz w:val="32"/>
          <w:szCs w:val="32"/>
        </w:rPr>
        <w:t>万元，决算数大于预算数主要是</w:t>
      </w:r>
      <w:r>
        <w:rPr>
          <w:rFonts w:hint="eastAsia" w:ascii="仿宋_GB2312" w:hAnsi="Times New Roman" w:eastAsia="仿宋_GB2312" w:cs="DengXian-Regular"/>
          <w:sz w:val="32"/>
          <w:szCs w:val="32"/>
        </w:rPr>
        <w:t>基本支出</w:t>
      </w:r>
      <w:r>
        <w:rPr>
          <w:rFonts w:hint="eastAsia" w:ascii="仿宋" w:hAnsi="仿宋" w:eastAsia="仿宋"/>
          <w:sz w:val="32"/>
          <w:szCs w:val="32"/>
          <w:lang w:val="en-US" w:eastAsia="zh-CN"/>
        </w:rPr>
        <w:t>有所增加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6732.90</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127.77</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1463.3</w:t>
      </w:r>
      <w:r>
        <w:rPr>
          <w:rFonts w:hint="eastAsia" w:ascii="仿宋_GB2312" w:eastAsia="仿宋_GB2312" w:cs="DengXian-Regular"/>
          <w:sz w:val="32"/>
          <w:szCs w:val="32"/>
        </w:rPr>
        <w:t>万元，决算数大于预算数</w:t>
      </w:r>
      <w:r>
        <w:rPr>
          <w:rFonts w:hint="eastAsia" w:ascii="仿宋_GB2312" w:hAnsi="Times New Roman" w:eastAsia="仿宋_GB2312" w:cs="DengXian-Regular"/>
          <w:sz w:val="32"/>
          <w:szCs w:val="32"/>
        </w:rPr>
        <w:t>主要为创建省级文明县城、垃圾处理场、PPP项目、公厕改造等项目支出。</w:t>
      </w:r>
    </w:p>
    <w:p>
      <w:pPr>
        <w:adjustRightInd w:val="0"/>
        <w:snapToGrid w:val="0"/>
        <w:spacing w:after="0" w:line="580" w:lineRule="exact"/>
        <w:ind w:firstLine="1600" w:firstLineChars="500"/>
        <w:rPr>
          <w:rFonts w:hint="eastAsia"/>
        </w:rPr>
      </w:pPr>
      <w:r>
        <w:rPr>
          <w:rFonts w:hint="eastAsia" w:eastAsia="仿宋_GB2312"/>
          <w:sz w:val="32"/>
          <w:szCs w:val="32"/>
        </w:rPr>
        <w:t>图4：财政拨款收支预决算对比情况</w:t>
      </w:r>
    </w:p>
    <w:p>
      <w:pPr>
        <w:pStyle w:val="2"/>
        <w:jc w:val="center"/>
        <w:rPr>
          <w:rFonts w:hint="eastAsia"/>
        </w:rPr>
      </w:pPr>
      <w:r>
        <w:rPr>
          <w:rFonts w:hint="eastAsia" w:eastAsia="仿宋_GB2312"/>
          <w:lang w:eastAsia="zh-CN"/>
        </w:rPr>
        <w:drawing>
          <wp:inline distT="0" distB="0" distL="114300" distR="114300">
            <wp:extent cx="4251325" cy="2557780"/>
            <wp:effectExtent l="4445" t="4445" r="11430" b="9525"/>
            <wp:docPr id="57" name="图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numPr>
          <w:ilvl w:val="0"/>
          <w:numId w:val="0"/>
        </w:numPr>
        <w:adjustRightInd w:val="0"/>
        <w:snapToGrid w:val="0"/>
        <w:spacing w:after="0" w:line="580" w:lineRule="exact"/>
        <w:ind w:firstLine="321" w:firstLineChars="100"/>
        <w:rPr>
          <w:rFonts w:ascii="楷体_GB2312" w:eastAsia="楷体_GB2312" w:cs="DengXian-Bold"/>
          <w:b/>
          <w:bCs/>
          <w:sz w:val="32"/>
          <w:szCs w:val="32"/>
        </w:rPr>
      </w:pPr>
      <w:r>
        <w:rPr>
          <w:rFonts w:hint="eastAsia" w:ascii="楷体_GB2312" w:eastAsia="楷体_GB2312" w:cs="DengXian-Bold"/>
          <w:b/>
          <w:bCs/>
          <w:sz w:val="32"/>
          <w:szCs w:val="32"/>
          <w:lang w:eastAsia="zh-CN"/>
        </w:rPr>
        <w:t>（</w:t>
      </w:r>
      <w:r>
        <w:rPr>
          <w:rFonts w:hint="eastAsia" w:ascii="楷体_GB2312" w:eastAsia="楷体_GB2312" w:cs="DengXian-Bold"/>
          <w:b/>
          <w:bCs/>
          <w:sz w:val="32"/>
          <w:szCs w:val="32"/>
          <w:lang w:val="en-US" w:eastAsia="zh-CN"/>
        </w:rPr>
        <w:t>三）</w:t>
      </w:r>
      <w:r>
        <w:rPr>
          <w:rFonts w:hint="eastAsia" w:ascii="楷体_GB2312" w:eastAsia="楷体_GB2312" w:cs="DengXian-Bold"/>
          <w:b/>
          <w:bCs/>
          <w:sz w:val="32"/>
          <w:szCs w:val="32"/>
        </w:rPr>
        <w:t>财政拨款支出决算结构情况。</w:t>
      </w:r>
    </w:p>
    <w:p>
      <w:pPr>
        <w:pStyle w:val="2"/>
        <w:ind w:firstLine="640" w:firstLineChars="200"/>
        <w:rPr>
          <w:rFonts w:hint="eastAsia"/>
          <w:lang w:eastAsia="zh-CN"/>
        </w:rPr>
      </w:pPr>
      <w:r>
        <w:rPr>
          <w:rFonts w:hint="eastAsia" w:ascii="仿宋_GB2312" w:eastAsia="仿宋_GB2312" w:cs="DengXian-Regular"/>
          <w:sz w:val="32"/>
          <w:szCs w:val="32"/>
          <w:lang w:eastAsia="zh-CN"/>
        </w:rPr>
        <w:t>2019</w:t>
      </w:r>
      <w:r>
        <w:rPr>
          <w:rFonts w:hint="eastAsia" w:ascii="仿宋_GB2312" w:eastAsia="仿宋_GB2312" w:cs="DengXian-Regular"/>
          <w:sz w:val="32"/>
          <w:szCs w:val="32"/>
        </w:rPr>
        <w:t xml:space="preserve"> 年度财政拨款支出</w:t>
      </w:r>
      <w:r>
        <w:rPr>
          <w:rFonts w:hint="eastAsia" w:cs="DengXian-Regular"/>
          <w:sz w:val="32"/>
          <w:szCs w:val="32"/>
          <w:lang w:val="en-US" w:eastAsia="zh-CN"/>
        </w:rPr>
        <w:t>6732.90</w:t>
      </w:r>
      <w:r>
        <w:rPr>
          <w:rFonts w:hint="eastAsia" w:ascii="仿宋_GB2312" w:eastAsia="仿宋_GB2312" w:cs="DengXian-Regular"/>
          <w:sz w:val="32"/>
          <w:szCs w:val="32"/>
        </w:rPr>
        <w:t>万元，</w:t>
      </w:r>
      <w:r>
        <w:rPr>
          <w:rFonts w:hint="eastAsia" w:ascii="仿宋_GB2312" w:hAnsi="Times New Roman" w:eastAsia="仿宋_GB2312" w:cs="DengXian-Regular"/>
          <w:color w:val="000000" w:themeColor="text1"/>
          <w:sz w:val="32"/>
          <w:szCs w:val="32"/>
          <w14:textFill>
            <w14:solidFill>
              <w14:schemeClr w14:val="tx1"/>
            </w14:solidFill>
          </w14:textFill>
        </w:rPr>
        <w:t>主要用于以下方面</w:t>
      </w:r>
      <w:r>
        <w:rPr>
          <w:rFonts w:hint="eastAsia" w:hAnsi="Times New Roman" w:cs="DengXian-Regular"/>
          <w:color w:val="000000" w:themeColor="text1"/>
          <w:sz w:val="32"/>
          <w:szCs w:val="32"/>
          <w:lang w:val="en-US" w:eastAsia="zh-CN"/>
          <w14:textFill>
            <w14:solidFill>
              <w14:schemeClr w14:val="tx1"/>
            </w14:solidFill>
          </w14:textFill>
        </w:rPr>
        <w:t>城乡社区（类）支出6648.12万元，占98.74%；</w:t>
      </w:r>
      <w:r>
        <w:rPr>
          <w:rFonts w:hint="eastAsia" w:ascii="仿宋_GB2312" w:eastAsia="仿宋_GB2312" w:cs="DengXian-Regular"/>
          <w:sz w:val="32"/>
          <w:szCs w:val="32"/>
        </w:rPr>
        <w:t>社会保障和就业（类）支出</w:t>
      </w:r>
      <w:r>
        <w:rPr>
          <w:rFonts w:hint="eastAsia" w:cs="DengXian-Regular"/>
          <w:sz w:val="32"/>
          <w:szCs w:val="32"/>
          <w:lang w:val="en-US" w:eastAsia="zh-CN"/>
        </w:rPr>
        <w:t>43.08</w:t>
      </w:r>
      <w:r>
        <w:rPr>
          <w:rFonts w:hint="eastAsia" w:ascii="仿宋_GB2312" w:eastAsia="仿宋_GB2312" w:cs="DengXian-Regular"/>
          <w:sz w:val="32"/>
          <w:szCs w:val="32"/>
        </w:rPr>
        <w:t>万元，占</w:t>
      </w:r>
      <w:r>
        <w:rPr>
          <w:rFonts w:hint="eastAsia" w:cs="DengXian-Regular"/>
          <w:sz w:val="32"/>
          <w:szCs w:val="32"/>
          <w:lang w:val="en-US" w:eastAsia="zh-CN"/>
        </w:rPr>
        <w:t>0.64</w:t>
      </w:r>
      <w:r>
        <w:rPr>
          <w:rFonts w:hint="eastAsia" w:ascii="仿宋_GB2312" w:eastAsia="仿宋_GB2312" w:cs="DengXian-Regular"/>
          <w:sz w:val="32"/>
          <w:szCs w:val="32"/>
        </w:rPr>
        <w:t>%；卫生健康</w:t>
      </w:r>
      <w:r>
        <w:rPr>
          <w:rFonts w:hint="eastAsia" w:cs="DengXian-Regular"/>
          <w:sz w:val="32"/>
          <w:szCs w:val="32"/>
          <w:lang w:eastAsia="zh-CN"/>
        </w:rPr>
        <w:t>（</w:t>
      </w:r>
      <w:r>
        <w:rPr>
          <w:rFonts w:hint="eastAsia" w:cs="DengXian-Regular"/>
          <w:sz w:val="32"/>
          <w:szCs w:val="32"/>
          <w:lang w:val="en-US" w:eastAsia="zh-CN"/>
        </w:rPr>
        <w:t>类</w:t>
      </w:r>
      <w:r>
        <w:rPr>
          <w:rFonts w:hint="eastAsia" w:cs="DengXian-Regular"/>
          <w:sz w:val="32"/>
          <w:szCs w:val="32"/>
          <w:lang w:eastAsia="zh-CN"/>
        </w:rPr>
        <w:t>）</w:t>
      </w:r>
      <w:r>
        <w:rPr>
          <w:rFonts w:hint="eastAsia" w:ascii="仿宋_GB2312" w:eastAsia="仿宋_GB2312" w:cs="DengXian-Regular"/>
          <w:sz w:val="32"/>
          <w:szCs w:val="32"/>
        </w:rPr>
        <w:t>支出</w:t>
      </w:r>
      <w:r>
        <w:rPr>
          <w:rFonts w:hint="eastAsia" w:cs="DengXian-Regular"/>
          <w:sz w:val="32"/>
          <w:szCs w:val="32"/>
          <w:lang w:val="en-US" w:eastAsia="zh-CN"/>
        </w:rPr>
        <w:t>15.69</w:t>
      </w:r>
      <w:r>
        <w:rPr>
          <w:rFonts w:hint="eastAsia" w:ascii="仿宋_GB2312" w:eastAsia="仿宋_GB2312" w:cs="DengXian-Regular"/>
          <w:sz w:val="32"/>
          <w:szCs w:val="32"/>
          <w:lang w:eastAsia="zh-CN"/>
        </w:rPr>
        <w:t>万元，</w:t>
      </w:r>
      <w:r>
        <w:rPr>
          <w:rFonts w:hint="eastAsia" w:ascii="仿宋_GB2312" w:eastAsia="仿宋_GB2312" w:cs="DengXian-Regular"/>
          <w:sz w:val="32"/>
          <w:szCs w:val="32"/>
        </w:rPr>
        <w:t>占</w:t>
      </w:r>
      <w:r>
        <w:rPr>
          <w:rFonts w:hint="eastAsia" w:cs="DengXian-Regular"/>
          <w:sz w:val="32"/>
          <w:szCs w:val="32"/>
          <w:lang w:val="en-US" w:eastAsia="zh-CN"/>
        </w:rPr>
        <w:t>0.23</w:t>
      </w:r>
      <w:r>
        <w:rPr>
          <w:rFonts w:hint="eastAsia" w:ascii="仿宋_GB2312" w:eastAsia="仿宋_GB2312" w:cs="DengXian-Regular"/>
          <w:sz w:val="32"/>
          <w:szCs w:val="32"/>
        </w:rPr>
        <w:t>%；住房保障（类）支出2</w:t>
      </w:r>
      <w:r>
        <w:rPr>
          <w:rFonts w:hint="eastAsia" w:cs="DengXian-Regular"/>
          <w:sz w:val="32"/>
          <w:szCs w:val="32"/>
          <w:lang w:val="en-US" w:eastAsia="zh-CN"/>
        </w:rPr>
        <w:t>6.01</w:t>
      </w:r>
      <w:r>
        <w:rPr>
          <w:rFonts w:hint="eastAsia" w:ascii="仿宋_GB2312" w:eastAsia="仿宋_GB2312" w:cs="DengXian-Regular"/>
          <w:sz w:val="32"/>
          <w:szCs w:val="32"/>
        </w:rPr>
        <w:t>万元，占</w:t>
      </w:r>
      <w:r>
        <w:rPr>
          <w:rFonts w:hint="eastAsia" w:cs="DengXian-Regular"/>
          <w:sz w:val="32"/>
          <w:szCs w:val="32"/>
          <w:lang w:val="en-US" w:eastAsia="zh-CN"/>
        </w:rPr>
        <w:t>0.39</w:t>
      </w:r>
      <w:r>
        <w:rPr>
          <w:rFonts w:hint="eastAsia" w:ascii="仿宋_GB2312" w:eastAsia="仿宋_GB2312" w:cs="DengXian-Regular"/>
          <w:sz w:val="32"/>
          <w:szCs w:val="32"/>
        </w:rPr>
        <w:t>%</w:t>
      </w:r>
      <w:r>
        <w:rPr>
          <w:rFonts w:hint="eastAsia" w:ascii="仿宋_GB2312" w:hAnsi="Times New Roman" w:eastAsia="仿宋_GB2312" w:cs="DengXian-Regular"/>
          <w:color w:val="000000" w:themeColor="text1"/>
          <w:sz w:val="32"/>
          <w:szCs w:val="32"/>
          <w14:textFill>
            <w14:solidFill>
              <w14:schemeClr w14:val="tx1"/>
            </w14:solidFill>
          </w14:textFill>
        </w:rPr>
        <w:t>。如图所示：</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w:t>
      </w:r>
      <w:r>
        <w:rPr>
          <w:rFonts w:hint="eastAsia" w:eastAsia="仿宋_GB2312"/>
          <w:sz w:val="32"/>
          <w:szCs w:val="32"/>
          <w:lang w:val="en-US" w:eastAsia="zh-CN"/>
        </w:rPr>
        <w:t>5</w:t>
      </w:r>
      <w:r>
        <w:rPr>
          <w:rFonts w:hint="eastAsia" w:eastAsia="仿宋_GB2312"/>
          <w:sz w:val="32"/>
          <w:szCs w:val="32"/>
        </w:rPr>
        <w:t>：财政拨款支出决算结构（按功能分类）</w:t>
      </w:r>
    </w:p>
    <w:p>
      <w:pPr>
        <w:pStyle w:val="2"/>
        <w:jc w:val="center"/>
        <w:rPr>
          <w:rFonts w:hint="eastAsia" w:eastAsia="仿宋_GB2312"/>
          <w:lang w:eastAsia="zh-CN"/>
        </w:rPr>
      </w:pPr>
      <w:r>
        <w:rPr>
          <w:rFonts w:hint="eastAsia" w:eastAsia="仿宋_GB2312"/>
          <w:lang w:eastAsia="zh-CN"/>
        </w:rPr>
        <w:drawing>
          <wp:inline distT="0" distB="0" distL="114300" distR="114300">
            <wp:extent cx="4450080" cy="2435860"/>
            <wp:effectExtent l="5080" t="4445" r="21590" b="17145"/>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lang w:eastAsia="zh-CN"/>
        </w:rPr>
        <w:t>2019</w:t>
      </w:r>
      <w:r>
        <w:rPr>
          <w:rFonts w:hint="eastAsia" w:ascii="仿宋_GB2312" w:eastAsia="仿宋_GB2312" w:cs="DengXian-Regular"/>
          <w:sz w:val="32"/>
          <w:szCs w:val="32"/>
        </w:rPr>
        <w:t xml:space="preserve"> 年度一般公共预算财政拨款基本支出</w:t>
      </w:r>
      <w:r>
        <w:rPr>
          <w:rFonts w:hint="eastAsia" w:ascii="仿宋_GB2312" w:eastAsia="仿宋_GB2312" w:cs="DengXian-Regular"/>
          <w:sz w:val="32"/>
          <w:szCs w:val="32"/>
          <w:lang w:val="en-US" w:eastAsia="zh-CN"/>
        </w:rPr>
        <w:t>992.81</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905.94</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86.88</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4"/>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after="0" w:line="580" w:lineRule="exact"/>
        <w:jc w:val="left"/>
        <w:rPr>
          <w:rFonts w:hint="eastAsia" w:ascii="宋体" w:hAnsi="宋体" w:cs="宋体"/>
          <w:sz w:val="32"/>
          <w:szCs w:val="32"/>
        </w:rPr>
      </w:pPr>
      <w:r>
        <w:rPr>
          <w:rFonts w:hint="eastAsia" w:eastAsia="仿宋_GB2312"/>
          <w:sz w:val="32"/>
          <w:szCs w:val="32"/>
          <w:lang w:val="en-US" w:eastAsia="zh-CN"/>
        </w:rPr>
        <w:t xml:space="preserve">   </w:t>
      </w:r>
      <w:r>
        <w:rPr>
          <w:rFonts w:eastAsia="仿宋_GB2312"/>
          <w:sz w:val="32"/>
          <w:szCs w:val="32"/>
        </w:rPr>
        <w:t>本部门</w:t>
      </w:r>
      <w:r>
        <w:rPr>
          <w:rFonts w:hint="eastAsia" w:eastAsia="仿宋_GB2312"/>
          <w:sz w:val="32"/>
          <w:szCs w:val="32"/>
          <w:lang w:eastAsia="zh-CN"/>
        </w:rPr>
        <w:t>2019</w:t>
      </w:r>
      <w:r>
        <w:rPr>
          <w:rFonts w:eastAsia="仿宋_GB2312"/>
          <w:sz w:val="32"/>
          <w:szCs w:val="32"/>
        </w:rPr>
        <w:t>年度一般公共预算财政拨款“三公”经费支出共计</w:t>
      </w:r>
      <w:r>
        <w:rPr>
          <w:rFonts w:hint="eastAsia" w:eastAsia="仿宋_GB2312"/>
          <w:sz w:val="32"/>
          <w:szCs w:val="32"/>
          <w:lang w:val="en-US" w:eastAsia="zh-CN"/>
        </w:rPr>
        <w:t>30</w:t>
      </w:r>
      <w:r>
        <w:rPr>
          <w:rFonts w:eastAsia="仿宋_GB2312"/>
          <w:sz w:val="32"/>
          <w:szCs w:val="32"/>
        </w:rPr>
        <w:t>万元，</w:t>
      </w:r>
      <w:r>
        <w:rPr>
          <w:rFonts w:hint="eastAsia" w:eastAsia="仿宋_GB2312"/>
          <w:sz w:val="32"/>
          <w:szCs w:val="32"/>
          <w:lang w:val="en-US" w:eastAsia="zh-CN"/>
        </w:rPr>
        <w:t>其中</w:t>
      </w:r>
      <w:r>
        <w:rPr>
          <w:rFonts w:hint="eastAsia" w:eastAsia="仿宋_GB2312"/>
          <w:sz w:val="32"/>
          <w:szCs w:val="32"/>
        </w:rPr>
        <w:t>因公出国（境）费0万元；公务用车购置及运</w:t>
      </w:r>
      <w:r>
        <w:rPr>
          <w:rFonts w:hint="eastAsia" w:eastAsia="仿宋_GB2312"/>
          <w:sz w:val="32"/>
          <w:szCs w:val="32"/>
          <w:lang w:val="en-US" w:eastAsia="zh-CN"/>
        </w:rPr>
        <w:t>行</w:t>
      </w:r>
      <w:r>
        <w:rPr>
          <w:rFonts w:hint="eastAsia" w:eastAsia="仿宋_GB2312"/>
          <w:sz w:val="32"/>
          <w:szCs w:val="32"/>
        </w:rPr>
        <w:t>费</w:t>
      </w:r>
      <w:r>
        <w:rPr>
          <w:rFonts w:hint="eastAsia" w:eastAsia="仿宋_GB2312"/>
          <w:sz w:val="32"/>
          <w:szCs w:val="32"/>
          <w:lang w:val="en-US" w:eastAsia="zh-CN"/>
        </w:rPr>
        <w:t>30</w:t>
      </w:r>
      <w:r>
        <w:rPr>
          <w:rFonts w:hint="eastAsia" w:eastAsia="仿宋_GB2312"/>
          <w:sz w:val="32"/>
          <w:szCs w:val="32"/>
        </w:rPr>
        <w:t>万元（其中：公务用车购置费为0万元)；公务接待费</w:t>
      </w:r>
      <w:r>
        <w:rPr>
          <w:rFonts w:hint="eastAsia" w:eastAsia="仿宋_GB2312"/>
          <w:sz w:val="32"/>
          <w:szCs w:val="32"/>
          <w:lang w:val="en-US" w:eastAsia="zh-CN"/>
        </w:rPr>
        <w:t>0</w:t>
      </w:r>
      <w:r>
        <w:rPr>
          <w:rFonts w:hint="eastAsia" w:eastAsia="仿宋_GB2312"/>
          <w:sz w:val="32"/>
          <w:szCs w:val="32"/>
        </w:rPr>
        <w:t>万元</w:t>
      </w:r>
      <w:r>
        <w:rPr>
          <w:rFonts w:hint="eastAsia" w:eastAsia="仿宋_GB2312"/>
          <w:sz w:val="32"/>
          <w:szCs w:val="32"/>
          <w:lang w:eastAsia="zh-CN"/>
        </w:rPr>
        <w:t>。</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w:t>
      </w:r>
      <w:r>
        <w:rPr>
          <w:rFonts w:hint="eastAsia" w:eastAsia="仿宋_GB2312"/>
          <w:sz w:val="32"/>
          <w:szCs w:val="32"/>
          <w:lang w:val="en-US" w:eastAsia="zh-CN"/>
        </w:rPr>
        <w:t>主要是较年初预算无增减变化</w:t>
      </w:r>
      <w:r>
        <w:rPr>
          <w:rFonts w:eastAsia="仿宋_GB2312"/>
          <w:sz w:val="32"/>
          <w:szCs w:val="32"/>
        </w:rPr>
        <w:t>；</w:t>
      </w:r>
      <w:r>
        <w:rPr>
          <w:rFonts w:hint="eastAsia" w:eastAsia="仿宋_GB2312"/>
          <w:sz w:val="32"/>
          <w:szCs w:val="32"/>
        </w:rPr>
        <w:t>比</w:t>
      </w:r>
      <w:r>
        <w:rPr>
          <w:rFonts w:hint="eastAsia" w:eastAsia="仿宋_GB2312"/>
          <w:sz w:val="32"/>
          <w:szCs w:val="32"/>
          <w:lang w:eastAsia="zh-CN"/>
        </w:rPr>
        <w:t>2018</w:t>
      </w:r>
      <w:r>
        <w:rPr>
          <w:rFonts w:eastAsia="仿宋_GB2312"/>
          <w:sz w:val="32"/>
          <w:szCs w:val="32"/>
        </w:rPr>
        <w:t>年度决算增加</w:t>
      </w:r>
      <w:r>
        <w:rPr>
          <w:rFonts w:hint="eastAsia" w:eastAsia="仿宋_GB2312"/>
          <w:sz w:val="32"/>
          <w:szCs w:val="32"/>
          <w:lang w:val="en-US" w:eastAsia="zh-CN"/>
        </w:rPr>
        <w:t>0.29</w:t>
      </w:r>
      <w:r>
        <w:rPr>
          <w:rFonts w:eastAsia="仿宋_GB2312"/>
          <w:sz w:val="32"/>
          <w:szCs w:val="32"/>
        </w:rPr>
        <w:t>万元，增长</w:t>
      </w:r>
      <w:r>
        <w:rPr>
          <w:rFonts w:hint="eastAsia" w:eastAsia="仿宋_GB2312"/>
          <w:sz w:val="32"/>
          <w:szCs w:val="32"/>
          <w:lang w:val="en-US" w:eastAsia="zh-CN"/>
        </w:rPr>
        <w:t>0.01</w:t>
      </w:r>
      <w:r>
        <w:rPr>
          <w:rFonts w:eastAsia="仿宋_GB2312"/>
          <w:sz w:val="32"/>
          <w:szCs w:val="32"/>
        </w:rPr>
        <w:t>%</w:t>
      </w:r>
      <w:r>
        <w:rPr>
          <w:rFonts w:hint="eastAsia" w:eastAsia="仿宋_GB2312"/>
          <w:sz w:val="32"/>
          <w:szCs w:val="32"/>
          <w:lang w:eastAsia="zh-CN"/>
        </w:rPr>
        <w:t>，</w:t>
      </w:r>
      <w:r>
        <w:rPr>
          <w:rFonts w:eastAsia="仿宋_GB2312"/>
          <w:sz w:val="32"/>
          <w:szCs w:val="32"/>
        </w:rPr>
        <w:t>主要是</w:t>
      </w:r>
      <w:r>
        <w:rPr>
          <w:rFonts w:hint="eastAsia" w:eastAsia="仿宋_GB2312"/>
          <w:sz w:val="32"/>
          <w:szCs w:val="32"/>
          <w:lang w:val="en-US" w:eastAsia="zh-CN"/>
        </w:rPr>
        <w:t>运行维护费增加</w:t>
      </w:r>
      <w:r>
        <w:rPr>
          <w:rFonts w:eastAsia="仿宋_GB2312"/>
          <w:sz w:val="32"/>
          <w:szCs w:val="32"/>
        </w:rPr>
        <w:t>。具体情况如下：</w:t>
      </w:r>
    </w:p>
    <w:p>
      <w:pPr>
        <w:numPr>
          <w:ilvl w:val="0"/>
          <w:numId w:val="0"/>
        </w:num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eastAsia="仿宋_GB2312"/>
          <w:sz w:val="32"/>
          <w:szCs w:val="32"/>
        </w:rPr>
        <w:t>年</w:t>
      </w:r>
      <w:r>
        <w:rPr>
          <w:rFonts w:eastAsia="仿宋_GB2312"/>
          <w:sz w:val="32"/>
          <w:szCs w:val="32"/>
          <w:highlight w:val="none"/>
        </w:rPr>
        <w:t>度</w:t>
      </w:r>
      <w:r>
        <w:rPr>
          <w:rFonts w:eastAsia="仿宋_GB2312"/>
          <w:color w:val="000000"/>
          <w:sz w:val="32"/>
          <w:szCs w:val="32"/>
          <w:highlight w:val="none"/>
        </w:rPr>
        <w:t>未发生</w:t>
      </w:r>
      <w:r>
        <w:rPr>
          <w:rFonts w:eastAsia="仿宋_GB2312"/>
          <w:sz w:val="32"/>
          <w:szCs w:val="32"/>
          <w:highlight w:val="none"/>
        </w:rPr>
        <w:t>因公出国（境）费支出</w:t>
      </w:r>
      <w:r>
        <w:rPr>
          <w:rFonts w:hint="eastAsia" w:eastAsia="仿宋_GB2312"/>
          <w:sz w:val="32"/>
          <w:szCs w:val="32"/>
          <w:highlight w:val="none"/>
          <w:lang w:eastAsia="zh-CN"/>
        </w:rPr>
        <w:t>，较年初预算无增减变化，较</w:t>
      </w:r>
      <w:r>
        <w:rPr>
          <w:rFonts w:hint="eastAsia" w:ascii="仿宋_GB2312" w:hAnsi="仿宋_GB2312" w:eastAsia="仿宋_GB2312" w:cs="仿宋_GB2312"/>
          <w:sz w:val="32"/>
          <w:szCs w:val="32"/>
          <w:highlight w:val="none"/>
          <w:lang w:val="en-US" w:eastAsia="zh-CN"/>
        </w:rPr>
        <w:t>2018</w:t>
      </w:r>
      <w:r>
        <w:rPr>
          <w:rFonts w:hint="eastAsia" w:eastAsia="仿宋_GB2312"/>
          <w:sz w:val="32"/>
          <w:szCs w:val="32"/>
          <w:highlight w:val="none"/>
          <w:lang w:val="en-US" w:eastAsia="zh-CN"/>
        </w:rPr>
        <w:t>年度决算无增减变化。</w:t>
      </w:r>
    </w:p>
    <w:p>
      <w:pPr>
        <w:adjustRightInd w:val="0"/>
        <w:snapToGrid w:val="0"/>
        <w:spacing w:after="0" w:line="580" w:lineRule="exact"/>
        <w:ind w:firstLine="643" w:firstLineChars="200"/>
        <w:jc w:val="left"/>
        <w:rPr>
          <w:rFonts w:hint="eastAsia" w:ascii="宋体" w:hAnsi="宋体" w:cs="宋体"/>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30</w:t>
      </w:r>
      <w:r>
        <w:rPr>
          <w:rFonts w:eastAsia="楷体_GB2312"/>
          <w:b/>
          <w:bCs/>
          <w:sz w:val="32"/>
          <w:szCs w:val="32"/>
        </w:rPr>
        <w:t>万元。</w:t>
      </w: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年度公务用车购置及运行维护费比年初预算</w:t>
      </w:r>
      <w:r>
        <w:rPr>
          <w:rFonts w:eastAsia="仿宋_GB2312"/>
          <w:sz w:val="32"/>
          <w:szCs w:val="32"/>
        </w:rPr>
        <w:t>增加</w:t>
      </w:r>
      <w:r>
        <w:rPr>
          <w:rFonts w:hint="eastAsia" w:eastAsia="仿宋_GB2312"/>
          <w:sz w:val="32"/>
          <w:szCs w:val="32"/>
          <w:lang w:val="en-US" w:eastAsia="zh-CN"/>
        </w:rPr>
        <w:t>0</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增长</w:t>
      </w:r>
      <w:r>
        <w:rPr>
          <w:rFonts w:hint="eastAsia" w:eastAsia="仿宋_GB2312"/>
          <w:sz w:val="32"/>
          <w:szCs w:val="32"/>
          <w:lang w:val="en-US" w:eastAsia="zh-CN"/>
        </w:rPr>
        <w:t>0</w:t>
      </w:r>
      <w:r>
        <w:rPr>
          <w:rFonts w:eastAsia="仿宋_GB2312"/>
          <w:sz w:val="32"/>
          <w:szCs w:val="32"/>
        </w:rPr>
        <w:t>%</w:t>
      </w:r>
      <w:r>
        <w:rPr>
          <w:rFonts w:hint="eastAsia" w:ascii="仿宋_GB2312" w:eastAsia="仿宋_GB2312" w:cs="DengXian-Regular"/>
          <w:sz w:val="32"/>
          <w:szCs w:val="32"/>
        </w:rPr>
        <w:t>；</w:t>
      </w:r>
      <w:r>
        <w:rPr>
          <w:rFonts w:hint="eastAsia" w:eastAsia="仿宋_GB2312"/>
          <w:sz w:val="32"/>
          <w:szCs w:val="32"/>
        </w:rPr>
        <w:t>比</w:t>
      </w:r>
      <w:r>
        <w:rPr>
          <w:rFonts w:hint="eastAsia" w:eastAsia="仿宋_GB2312"/>
          <w:sz w:val="32"/>
          <w:szCs w:val="32"/>
          <w:lang w:eastAsia="zh-CN"/>
        </w:rPr>
        <w:t>2018</w:t>
      </w:r>
      <w:r>
        <w:rPr>
          <w:rFonts w:eastAsia="仿宋_GB2312"/>
          <w:sz w:val="32"/>
          <w:szCs w:val="32"/>
        </w:rPr>
        <w:t>年度决算增加</w:t>
      </w:r>
      <w:r>
        <w:rPr>
          <w:rFonts w:hint="eastAsia" w:eastAsia="仿宋_GB2312"/>
          <w:sz w:val="32"/>
          <w:szCs w:val="32"/>
          <w:lang w:val="en-US" w:eastAsia="zh-CN"/>
        </w:rPr>
        <w:t>0.29</w:t>
      </w:r>
      <w:r>
        <w:rPr>
          <w:rFonts w:eastAsia="仿宋_GB2312"/>
          <w:sz w:val="32"/>
          <w:szCs w:val="32"/>
        </w:rPr>
        <w:t>万元，增长</w:t>
      </w:r>
      <w:r>
        <w:rPr>
          <w:rFonts w:hint="eastAsia" w:eastAsia="仿宋_GB2312"/>
          <w:sz w:val="32"/>
          <w:szCs w:val="32"/>
          <w:lang w:val="en-US" w:eastAsia="zh-CN"/>
        </w:rPr>
        <w:t>0.01</w:t>
      </w:r>
      <w:r>
        <w:rPr>
          <w:rFonts w:eastAsia="仿宋_GB2312"/>
          <w:sz w:val="32"/>
          <w:szCs w:val="32"/>
        </w:rPr>
        <w:t>%，主要是</w:t>
      </w:r>
      <w:r>
        <w:rPr>
          <w:rFonts w:hint="eastAsia" w:ascii="仿宋_GB2312" w:eastAsia="仿宋_GB2312" w:cs="DengXian-Regular"/>
          <w:sz w:val="32"/>
          <w:szCs w:val="32"/>
          <w:lang w:val="en-US" w:eastAsia="zh-CN"/>
        </w:rPr>
        <w:t>运行维护费增加</w:t>
      </w:r>
      <w:r>
        <w:rPr>
          <w:rFonts w:eastAsia="仿宋_GB2312"/>
          <w:sz w:val="32"/>
          <w:szCs w:val="32"/>
        </w:rPr>
        <w:t>。</w:t>
      </w:r>
      <w:r>
        <w:rPr>
          <w:rFonts w:eastAsia="仿宋_GB2312"/>
          <w:b/>
          <w:bCs/>
          <w:sz w:val="32"/>
          <w:szCs w:val="32"/>
        </w:rPr>
        <w:t>其中：</w:t>
      </w:r>
    </w:p>
    <w:p>
      <w:pPr>
        <w:numPr>
          <w:ilvl w:val="0"/>
          <w:numId w:val="0"/>
        </w:numPr>
        <w:adjustRightInd w:val="0"/>
        <w:snapToGrid w:val="0"/>
        <w:spacing w:line="584" w:lineRule="exact"/>
        <w:ind w:firstLine="643" w:firstLineChars="200"/>
        <w:rPr>
          <w:rFonts w:hint="eastAsia" w:eastAsia="仿宋_GB2312"/>
          <w:sz w:val="32"/>
          <w:szCs w:val="32"/>
          <w:lang w:val="en-US" w:eastAsia="zh-CN"/>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highlight w:val="none"/>
        </w:rPr>
        <w:t>本部门</w:t>
      </w: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年度</w:t>
      </w:r>
      <w:r>
        <w:rPr>
          <w:rFonts w:hint="eastAsia" w:ascii="仿宋_GB2312" w:hAnsi="仿宋_GB2312" w:eastAsia="仿宋_GB2312" w:cs="仿宋_GB2312"/>
          <w:color w:val="000000"/>
          <w:sz w:val="32"/>
          <w:szCs w:val="32"/>
          <w:highlight w:val="none"/>
        </w:rPr>
        <w:t>未发生公务用车购置经费支出</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sz w:val="32"/>
          <w:szCs w:val="32"/>
          <w:highlight w:val="none"/>
          <w:lang w:eastAsia="zh-CN"/>
        </w:rPr>
        <w:t>较年初预算无增减变化，较</w:t>
      </w:r>
      <w:r>
        <w:rPr>
          <w:rFonts w:hint="eastAsia" w:ascii="仿宋_GB2312" w:hAnsi="仿宋_GB2312" w:eastAsia="仿宋_GB2312" w:cs="仿宋_GB2312"/>
          <w:sz w:val="32"/>
          <w:szCs w:val="32"/>
          <w:highlight w:val="none"/>
          <w:lang w:val="en-US" w:eastAsia="zh-CN"/>
        </w:rPr>
        <w:t>2018</w:t>
      </w:r>
      <w:r>
        <w:rPr>
          <w:rFonts w:hint="eastAsia" w:eastAsia="仿宋_GB2312"/>
          <w:sz w:val="32"/>
          <w:szCs w:val="32"/>
          <w:highlight w:val="none"/>
          <w:lang w:val="en-US" w:eastAsia="zh-CN"/>
        </w:rPr>
        <w:t>年度决</w:t>
      </w:r>
      <w:r>
        <w:rPr>
          <w:rFonts w:hint="eastAsia" w:eastAsia="仿宋_GB2312"/>
          <w:sz w:val="32"/>
          <w:szCs w:val="32"/>
          <w:lang w:val="en-US" w:eastAsia="zh-CN"/>
        </w:rPr>
        <w:t>算无增减变化。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30</w:t>
      </w:r>
      <w:r>
        <w:rPr>
          <w:rFonts w:eastAsia="仿宋_GB2312"/>
          <w:b/>
          <w:sz w:val="32"/>
          <w:szCs w:val="32"/>
        </w:rPr>
        <w:t>万元。</w:t>
      </w:r>
      <w:r>
        <w:rPr>
          <w:rFonts w:eastAsia="仿宋_GB2312"/>
          <w:sz w:val="32"/>
          <w:szCs w:val="32"/>
        </w:rPr>
        <w:t>本部门</w:t>
      </w:r>
      <w:r>
        <w:rPr>
          <w:rFonts w:hint="eastAsia" w:eastAsia="仿宋_GB2312"/>
          <w:sz w:val="32"/>
          <w:szCs w:val="32"/>
          <w:lang w:eastAsia="zh-CN"/>
        </w:rPr>
        <w:t>2019</w:t>
      </w:r>
      <w:r>
        <w:rPr>
          <w:rFonts w:eastAsia="仿宋_GB2312"/>
          <w:sz w:val="32"/>
          <w:szCs w:val="32"/>
        </w:rPr>
        <w:t>年末单位公务用车保有量</w:t>
      </w:r>
      <w:r>
        <w:rPr>
          <w:rFonts w:hint="eastAsia" w:eastAsia="仿宋_GB2312"/>
          <w:sz w:val="32"/>
          <w:szCs w:val="32"/>
          <w:lang w:val="en-US" w:eastAsia="zh-CN"/>
        </w:rPr>
        <w:t>12</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val="en-US" w:eastAsia="zh-CN"/>
        </w:rPr>
        <w:t>较年初预算无增减变化</w:t>
      </w:r>
      <w:r>
        <w:rPr>
          <w:rFonts w:eastAsia="仿宋_GB2312"/>
          <w:sz w:val="32"/>
          <w:szCs w:val="32"/>
        </w:rPr>
        <w:t>；</w:t>
      </w:r>
      <w:r>
        <w:rPr>
          <w:rFonts w:hint="eastAsia" w:eastAsia="仿宋_GB2312"/>
          <w:sz w:val="32"/>
          <w:szCs w:val="32"/>
        </w:rPr>
        <w:t>比</w:t>
      </w:r>
      <w:r>
        <w:rPr>
          <w:rFonts w:hint="eastAsia" w:eastAsia="仿宋_GB2312"/>
          <w:sz w:val="32"/>
          <w:szCs w:val="32"/>
          <w:lang w:eastAsia="zh-CN"/>
        </w:rPr>
        <w:t>2018</w:t>
      </w:r>
      <w:r>
        <w:rPr>
          <w:rFonts w:eastAsia="仿宋_GB2312"/>
          <w:sz w:val="32"/>
          <w:szCs w:val="32"/>
        </w:rPr>
        <w:t>年度决算增加</w:t>
      </w:r>
      <w:r>
        <w:rPr>
          <w:rFonts w:hint="eastAsia" w:eastAsia="仿宋_GB2312"/>
          <w:sz w:val="32"/>
          <w:szCs w:val="32"/>
          <w:lang w:val="en-US" w:eastAsia="zh-CN"/>
        </w:rPr>
        <w:t>0.29</w:t>
      </w:r>
      <w:r>
        <w:rPr>
          <w:rFonts w:eastAsia="仿宋_GB2312"/>
          <w:sz w:val="32"/>
          <w:szCs w:val="32"/>
        </w:rPr>
        <w:t>万元，增长</w:t>
      </w:r>
      <w:r>
        <w:rPr>
          <w:rFonts w:hint="eastAsia" w:eastAsia="仿宋_GB2312"/>
          <w:sz w:val="32"/>
          <w:szCs w:val="32"/>
          <w:lang w:val="en-US" w:eastAsia="zh-CN"/>
        </w:rPr>
        <w:t>0.01</w:t>
      </w:r>
      <w:r>
        <w:rPr>
          <w:rFonts w:eastAsia="仿宋_GB2312"/>
          <w:sz w:val="32"/>
          <w:szCs w:val="32"/>
        </w:rPr>
        <w:t>%，主要是</w:t>
      </w:r>
      <w:r>
        <w:rPr>
          <w:rFonts w:hint="eastAsia" w:eastAsia="仿宋_GB2312"/>
          <w:sz w:val="32"/>
          <w:szCs w:val="32"/>
          <w:lang w:val="en-US" w:eastAsia="zh-CN"/>
        </w:rPr>
        <w:t>运行维护费增加</w:t>
      </w:r>
      <w:r>
        <w:rPr>
          <w:rFonts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w:t>
      </w:r>
      <w:r>
        <w:rPr>
          <w:rFonts w:hint="eastAsia" w:eastAsia="仿宋_GB2312"/>
          <w:sz w:val="32"/>
          <w:szCs w:val="32"/>
          <w:lang w:eastAsia="zh-CN"/>
        </w:rPr>
        <w:t>2019</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val="en-US" w:eastAsia="zh-CN"/>
        </w:rPr>
        <w:t>未发生公务接待经费支出</w:t>
      </w:r>
      <w:r>
        <w:rPr>
          <w:rFonts w:eastAsia="仿宋_GB2312"/>
          <w:sz w:val="32"/>
          <w:szCs w:val="32"/>
        </w:rPr>
        <w:t>；</w:t>
      </w:r>
      <w:r>
        <w:rPr>
          <w:rFonts w:hint="eastAsia" w:eastAsia="仿宋_GB2312"/>
          <w:sz w:val="32"/>
          <w:szCs w:val="32"/>
        </w:rPr>
        <w:t>比</w:t>
      </w:r>
      <w:r>
        <w:rPr>
          <w:rFonts w:hint="eastAsia" w:eastAsia="仿宋_GB2312"/>
          <w:sz w:val="32"/>
          <w:szCs w:val="32"/>
          <w:lang w:eastAsia="zh-CN"/>
        </w:rPr>
        <w:t>2018</w:t>
      </w:r>
      <w:r>
        <w:rPr>
          <w:rFonts w:eastAsia="仿宋_GB2312"/>
          <w:sz w:val="32"/>
          <w:szCs w:val="32"/>
        </w:rPr>
        <w:t>年度决算减少</w:t>
      </w:r>
      <w:r>
        <w:rPr>
          <w:rFonts w:hint="eastAsia" w:eastAsia="仿宋_GB2312"/>
          <w:sz w:val="32"/>
          <w:szCs w:val="32"/>
          <w:lang w:val="en-US" w:eastAsia="zh-CN"/>
        </w:rPr>
        <w:t>0.04</w:t>
      </w:r>
      <w:r>
        <w:rPr>
          <w:rFonts w:eastAsia="仿宋_GB2312"/>
          <w:sz w:val="32"/>
          <w:szCs w:val="32"/>
        </w:rPr>
        <w:t>万元，降低</w:t>
      </w:r>
      <w:r>
        <w:rPr>
          <w:rFonts w:hint="eastAsia" w:eastAsia="仿宋_GB2312"/>
          <w:sz w:val="32"/>
          <w:szCs w:val="32"/>
          <w:lang w:val="en-US" w:eastAsia="zh-CN"/>
        </w:rPr>
        <w:t>100</w:t>
      </w:r>
      <w:r>
        <w:rPr>
          <w:rFonts w:eastAsia="仿宋_GB2312"/>
          <w:sz w:val="32"/>
          <w:szCs w:val="32"/>
        </w:rPr>
        <w:t>%，主要是</w:t>
      </w:r>
      <w:r>
        <w:rPr>
          <w:rFonts w:hint="eastAsia" w:eastAsia="仿宋_GB2312"/>
          <w:sz w:val="32"/>
          <w:szCs w:val="32"/>
          <w:lang w:val="en-US" w:eastAsia="zh-CN"/>
        </w:rPr>
        <w:t>无公务接待</w:t>
      </w:r>
      <w:r>
        <w:rPr>
          <w:rFonts w:eastAsia="仿宋_GB2312"/>
          <w:sz w:val="32"/>
          <w:szCs w:val="32"/>
        </w:rPr>
        <w:t>。</w:t>
      </w:r>
    </w:p>
    <w:p>
      <w:pPr>
        <w:pStyle w:val="4"/>
        <w:spacing w:before="0" w:after="0" w:line="580" w:lineRule="exact"/>
        <w:ind w:firstLine="640" w:firstLineChars="200"/>
        <w:rPr>
          <w:rFonts w:hint="eastAsia" w:ascii="黑体" w:eastAsia="黑体"/>
          <w:b w:val="0"/>
          <w:bCs w:val="0"/>
        </w:rPr>
      </w:pPr>
      <w:r>
        <w:rPr>
          <w:rFonts w:hint="eastAsia" w:ascii="黑体" w:eastAsia="黑体"/>
          <w:b w:val="0"/>
          <w:bCs w:val="0"/>
          <w:lang w:val="en-US" w:eastAsia="zh-CN"/>
        </w:rPr>
        <w:t>六</w:t>
      </w:r>
      <w:r>
        <w:rPr>
          <w:rFonts w:hint="eastAsia" w:ascii="黑体" w:eastAsia="黑体"/>
          <w:b w:val="0"/>
          <w:bCs w:val="0"/>
        </w:rPr>
        <w:t>、其他重要事项的说明</w:t>
      </w:r>
    </w:p>
    <w:p>
      <w:pPr>
        <w:pStyle w:val="5"/>
        <w:spacing w:before="0" w:after="0" w:line="580" w:lineRule="exact"/>
        <w:ind w:firstLine="643" w:firstLineChars="200"/>
        <w:rPr>
          <w:rFonts w:hint="eastAsia" w:ascii="楷体_GB2312" w:hAnsi="Times New Roman" w:eastAsia="楷体_GB2312" w:cs="DengXian-Bold"/>
        </w:rPr>
      </w:pPr>
      <w:r>
        <w:rPr>
          <w:rFonts w:hint="eastAsia" w:ascii="楷体_GB2312" w:hAnsi="Times New Roman" w:eastAsia="楷体_GB2312" w:cs="DengXian-Bold"/>
        </w:rPr>
        <w:t>（一）机关运行经费情况</w:t>
      </w:r>
    </w:p>
    <w:p>
      <w:pPr>
        <w:adjustRightInd w:val="0"/>
        <w:snapToGrid w:val="0"/>
        <w:spacing w:after="0" w:line="580" w:lineRule="exact"/>
        <w:ind w:firstLine="640" w:firstLineChars="200"/>
        <w:rPr>
          <w:rFonts w:hint="default" w:ascii="仿宋_GB2312" w:eastAsia="仿宋_GB2312" w:cs="DengXian-Regular"/>
          <w:sz w:val="32"/>
          <w:szCs w:val="32"/>
          <w:lang w:val="en-US" w:eastAsia="zh-CN"/>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86.88</w:t>
      </w:r>
      <w:r>
        <w:rPr>
          <w:rFonts w:hint="eastAsia" w:ascii="仿宋_GB2312" w:eastAsia="仿宋_GB2312" w:cs="DengXian-Regular"/>
          <w:sz w:val="32"/>
          <w:szCs w:val="32"/>
        </w:rPr>
        <w:t>万元，比</w:t>
      </w:r>
      <w:r>
        <w:rPr>
          <w:rFonts w:hint="eastAsia" w:ascii="仿宋_GB2312" w:eastAsia="仿宋_GB2312" w:cs="DengXian-Regular"/>
          <w:sz w:val="32"/>
          <w:szCs w:val="32"/>
          <w:lang w:val="en-US" w:eastAsia="zh-CN"/>
        </w:rPr>
        <w:t>2018年度减少1951.12万元，降低95.74%。主要原因是减少了委托业务费。</w:t>
      </w:r>
    </w:p>
    <w:p>
      <w:pPr>
        <w:pStyle w:val="5"/>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5"/>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numPr>
          <w:ilvl w:val="0"/>
          <w:numId w:val="0"/>
        </w:numPr>
        <w:adjustRightInd w:val="0"/>
        <w:snapToGrid w:val="0"/>
        <w:spacing w:line="584"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cs="DengXian-Regular"/>
          <w:sz w:val="32"/>
          <w:szCs w:val="32"/>
        </w:rPr>
        <w:t>截至</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年12月31日，本部门共有车辆</w:t>
      </w:r>
      <w:r>
        <w:rPr>
          <w:rFonts w:hint="eastAsia" w:ascii="仿宋_GB2312" w:eastAsia="仿宋_GB2312" w:cs="DengXian-Regular"/>
          <w:sz w:val="32"/>
          <w:szCs w:val="32"/>
          <w:lang w:val="en-US" w:eastAsia="zh-CN"/>
        </w:rPr>
        <w:t>12</w:t>
      </w:r>
      <w:r>
        <w:rPr>
          <w:rFonts w:hint="eastAsia" w:ascii="仿宋_GB2312" w:eastAsia="仿宋_GB2312" w:cs="DengXian-Regular"/>
          <w:sz w:val="32"/>
          <w:szCs w:val="32"/>
        </w:rPr>
        <w:t>辆，</w:t>
      </w:r>
      <w:r>
        <w:rPr>
          <w:rFonts w:hint="eastAsia" w:ascii="仿宋_GB2312" w:hAnsi="仿宋_GB2312" w:eastAsia="仿宋_GB2312" w:cs="仿宋_GB2312"/>
          <w:sz w:val="32"/>
          <w:szCs w:val="32"/>
          <w:highlight w:val="none"/>
          <w:lang w:eastAsia="zh-CN"/>
        </w:rPr>
        <w:t>较</w:t>
      </w:r>
      <w:r>
        <w:rPr>
          <w:rFonts w:hint="eastAsia" w:ascii="仿宋_GB2312" w:hAnsi="仿宋_GB2312" w:eastAsia="仿宋_GB2312" w:cs="仿宋_GB2312"/>
          <w:sz w:val="32"/>
          <w:szCs w:val="32"/>
          <w:highlight w:val="none"/>
          <w:lang w:val="en-US" w:eastAsia="zh-CN"/>
        </w:rPr>
        <w:t>2018年度决</w:t>
      </w:r>
      <w:r>
        <w:rPr>
          <w:rFonts w:hint="eastAsia" w:ascii="仿宋_GB2312" w:hAnsi="仿宋_GB2312" w:eastAsia="仿宋_GB2312" w:cs="仿宋_GB2312"/>
          <w:sz w:val="32"/>
          <w:szCs w:val="32"/>
          <w:lang w:val="en-US" w:eastAsia="zh-CN"/>
        </w:rPr>
        <w:t>算无增减变化，</w:t>
      </w:r>
      <w:r>
        <w:rPr>
          <w:rFonts w:hint="eastAsia" w:ascii="仿宋_GB2312" w:eastAsia="仿宋_GB2312" w:cs="DengXian-Regular"/>
          <w:sz w:val="32"/>
          <w:szCs w:val="32"/>
        </w:rPr>
        <w:t>主要是</w:t>
      </w:r>
      <w:r>
        <w:rPr>
          <w:rFonts w:hint="eastAsia" w:ascii="仿宋_GB2312" w:hAnsi="Times New Roman" w:eastAsia="仿宋_GB2312" w:cs="DengXian-Regular"/>
          <w:sz w:val="32"/>
          <w:szCs w:val="32"/>
        </w:rPr>
        <w:t>公务用车无变化</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其中，副部（省）级及以上领导用车0辆，主要领导干部用车0辆，机要通信用车0辆，应急保障用车0辆，执法执勤用车0辆，特种专业技术用车0辆，离退休干部用车0辆，其他用车0辆；</w:t>
      </w:r>
    </w:p>
    <w:p>
      <w:pPr>
        <w:numPr>
          <w:ilvl w:val="0"/>
          <w:numId w:val="0"/>
        </w:numPr>
        <w:adjustRightInd w:val="0"/>
        <w:snapToGrid w:val="0"/>
        <w:spacing w:line="584" w:lineRule="exact"/>
        <w:ind w:firstLine="640" w:firstLine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highlight w:val="none"/>
          <w:lang w:eastAsia="zh-CN"/>
        </w:rPr>
        <w:t>较</w:t>
      </w:r>
      <w:r>
        <w:rPr>
          <w:rFonts w:hint="eastAsia" w:ascii="仿宋_GB2312" w:hAnsi="仿宋_GB2312" w:eastAsia="仿宋_GB2312" w:cs="仿宋_GB2312"/>
          <w:sz w:val="32"/>
          <w:szCs w:val="32"/>
          <w:highlight w:val="none"/>
          <w:lang w:val="en-US" w:eastAsia="zh-CN"/>
        </w:rPr>
        <w:t>2018年度决</w:t>
      </w:r>
      <w:r>
        <w:rPr>
          <w:rFonts w:hint="eastAsia" w:ascii="仿宋_GB2312" w:hAnsi="仿宋_GB2312" w:eastAsia="仿宋_GB2312" w:cs="仿宋_GB2312"/>
          <w:sz w:val="32"/>
          <w:szCs w:val="32"/>
          <w:lang w:val="en-US" w:eastAsia="zh-CN"/>
        </w:rPr>
        <w:t>算无增减变化；</w:t>
      </w:r>
      <w:r>
        <w:rPr>
          <w:rFonts w:hint="eastAsia" w:ascii="仿宋_GB2312" w:hAnsi="仿宋_GB2312" w:eastAsia="仿宋_GB2312" w:cs="仿宋_GB2312"/>
          <w:sz w:val="32"/>
          <w:szCs w:val="32"/>
        </w:rPr>
        <w:t>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较</w:t>
      </w:r>
      <w:r>
        <w:rPr>
          <w:rFonts w:hint="eastAsia" w:ascii="仿宋_GB2312" w:hAnsi="仿宋_GB2312" w:eastAsia="仿宋_GB2312" w:cs="仿宋_GB2312"/>
          <w:sz w:val="32"/>
          <w:szCs w:val="32"/>
          <w:highlight w:val="none"/>
          <w:lang w:val="en-US" w:eastAsia="zh-CN"/>
        </w:rPr>
        <w:t>2018年度</w:t>
      </w:r>
      <w:r>
        <w:rPr>
          <w:rFonts w:hint="eastAsia" w:eastAsia="仿宋_GB2312"/>
          <w:sz w:val="32"/>
          <w:szCs w:val="32"/>
          <w:highlight w:val="none"/>
          <w:lang w:val="en-US" w:eastAsia="zh-CN"/>
        </w:rPr>
        <w:t>决</w:t>
      </w:r>
      <w:r>
        <w:rPr>
          <w:rFonts w:hint="eastAsia" w:eastAsia="仿宋_GB2312"/>
          <w:sz w:val="32"/>
          <w:szCs w:val="32"/>
          <w:lang w:val="en-US" w:eastAsia="zh-CN"/>
        </w:rPr>
        <w:t>算无增减变化</w:t>
      </w:r>
      <w:r>
        <w:rPr>
          <w:rFonts w:hint="eastAsia" w:ascii="仿宋_GB2312" w:eastAsia="仿宋_GB2312" w:cs="DengXian-Regular"/>
          <w:sz w:val="32"/>
          <w:szCs w:val="32"/>
        </w:rPr>
        <w:t>。</w:t>
      </w:r>
    </w:p>
    <w:p>
      <w:pPr>
        <w:pStyle w:val="5"/>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eastAsia="仿宋_GB2312" w:cs="DengXian-Regular"/>
          <w:sz w:val="32"/>
          <w:szCs w:val="32"/>
        </w:rPr>
        <w:t>1、本部门</w:t>
      </w:r>
      <w:r>
        <w:rPr>
          <w:rFonts w:hint="eastAsia" w:ascii="仿宋_GB2312" w:eastAsia="仿宋_GB2312" w:cs="DengXian-Regular"/>
          <w:sz w:val="32"/>
          <w:szCs w:val="32"/>
          <w:lang w:eastAsia="zh-CN"/>
        </w:rPr>
        <w:t>2019</w:t>
      </w:r>
      <w:r>
        <w:rPr>
          <w:rFonts w:hint="eastAsia" w:ascii="仿宋_GB2312" w:eastAsia="仿宋_GB2312" w:cs="DengXian-Regular"/>
          <w:sz w:val="32"/>
          <w:szCs w:val="32"/>
        </w:rPr>
        <w:t>年度</w:t>
      </w:r>
      <w:r>
        <w:rPr>
          <w:rFonts w:hint="eastAsia" w:ascii="仿宋_GB2312" w:hAnsi="Times New Roman" w:eastAsia="仿宋_GB2312" w:cs="DengXian-Regular"/>
          <w:sz w:val="32"/>
          <w:szCs w:val="32"/>
        </w:rPr>
        <w:t>政府性基金预算财政拨款</w:t>
      </w:r>
      <w:r>
        <w:rPr>
          <w:rFonts w:hint="eastAsia" w:ascii="仿宋_GB2312" w:hAnsi="Times New Roman" w:eastAsia="仿宋_GB2312" w:cs="DengXian-Regular"/>
          <w:sz w:val="32"/>
          <w:szCs w:val="32"/>
          <w:lang w:val="en-US" w:eastAsia="zh-CN"/>
        </w:rPr>
        <w:t>和</w:t>
      </w:r>
      <w:r>
        <w:rPr>
          <w:rFonts w:hint="eastAsia" w:ascii="仿宋_GB2312" w:hAnsi="Times New Roman" w:eastAsia="仿宋_GB2312" w:cs="DengXian-Regular"/>
          <w:sz w:val="32"/>
          <w:szCs w:val="32"/>
        </w:rPr>
        <w:t>国有资本经营预算财政拨款</w:t>
      </w:r>
      <w:r>
        <w:rPr>
          <w:rFonts w:hint="eastAsia" w:ascii="仿宋_GB2312" w:eastAsia="仿宋_GB2312" w:cs="DengXian-Regular"/>
          <w:sz w:val="32"/>
          <w:szCs w:val="32"/>
        </w:rPr>
        <w:t>无收支及结转结余情况，</w:t>
      </w:r>
      <w:r>
        <w:rPr>
          <w:rFonts w:hint="eastAsia" w:ascii="仿宋_GB2312" w:hAnsi="仿宋_GB2312" w:eastAsia="仿宋_GB2312" w:cs="仿宋_GB2312"/>
          <w:b w:val="0"/>
          <w:bCs/>
          <w:sz w:val="32"/>
          <w:szCs w:val="32"/>
          <w:lang w:val="en-US" w:eastAsia="zh-CN"/>
        </w:rPr>
        <w:t>故政府性基金预算财政拨款收入支出决算表和国有资本经营预算财政拨款支出决算表以空表列示。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numPr>
          <w:ilvl w:val="0"/>
          <w:numId w:val="0"/>
        </w:numPr>
        <w:adjustRightInd w:val="0"/>
        <w:snapToGrid w:val="0"/>
        <w:spacing w:line="584" w:lineRule="exact"/>
        <w:ind w:firstLine="643" w:firstLineChars="200"/>
        <w:rPr>
          <w:rFonts w:ascii="楷体_GB2312" w:hAnsi="Times New Roman" w:eastAsia="楷体_GB2312" w:cs="DengXian-Bold"/>
          <w:b/>
          <w:bCs/>
          <w:color w:val="000000" w:themeColor="text1"/>
          <w:sz w:val="32"/>
          <w:szCs w:val="32"/>
          <w14:textFill>
            <w14:solidFill>
              <w14:schemeClr w14:val="tx1"/>
            </w14:solidFill>
          </w14:textFill>
        </w:rPr>
      </w:pPr>
    </w:p>
    <w:p>
      <w:pPr>
        <w:pStyle w:val="2"/>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sectPr>
          <w:type w:val="continuous"/>
          <w:pgSz w:w="11906" w:h="16838"/>
          <w:pgMar w:top="2041" w:right="1531" w:bottom="2041" w:left="1531" w:header="851" w:footer="992" w:gutter="0"/>
          <w:pgNumType w:fmt="decimal"/>
          <w:cols w:space="0" w:num="1"/>
          <w:titlePg/>
          <w:docGrid w:type="lines" w:linePitch="312" w:charSpace="0"/>
        </w:sectPr>
      </w:pPr>
    </w:p>
    <w:p>
      <w:pPr>
        <w:rPr>
          <w:rFonts w:ascii="黑体" w:hAnsi="黑体" w:eastAsia="黑体" w:cs="黑体"/>
          <w:color w:val="000000" w:themeColor="text1"/>
          <w:sz w:val="56"/>
          <w:szCs w:val="72"/>
          <w14:textFill>
            <w14:solidFill>
              <w14:schemeClr w14:val="tx1"/>
            </w14:solidFill>
          </w14:textFill>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NumType w:fmt="decimal"/>
          <w:cols w:space="0" w:num="1"/>
          <w:titlePg/>
          <w:docGrid w:type="lines" w:linePitch="312" w:charSpace="0"/>
        </w:sectPr>
      </w:pPr>
      <w:r>
        <w:rPr>
          <w:rFonts w:ascii="黑体" w:hAnsi="黑体" w:eastAsia="黑体" w:cs="黑体"/>
          <w:color w:val="000000" w:themeColor="text1"/>
          <w:sz w:val="56"/>
          <w:szCs w:val="72"/>
          <w14:textFill>
            <w14:solidFill>
              <w14:schemeClr w14:val="tx1"/>
            </w14:solidFill>
          </w14:textFill>
        </w:rPr>
        <w:br w:type="page"/>
      </w: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86912;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o:title="5%" focussize="0,0" r:id="rId31"/>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sectPr>
          <w:headerReference r:id="rId21" w:type="first"/>
          <w:pgSz w:w="11906" w:h="16838"/>
          <w:pgMar w:top="2041" w:right="1531" w:bottom="2041" w:left="1531" w:header="851" w:footer="992" w:gutter="0"/>
          <w:pgNumType w:fmt="decimal"/>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（一）财政拨款收入：</w:t>
      </w:r>
      <w:r>
        <w:rPr>
          <w:rFonts w:hint="eastAsia" w:ascii="仿宋_GB2312" w:hAnsi="宋体" w:eastAsia="仿宋_GB2312" w:cs="Times New Roman"/>
          <w:color w:val="000000" w:themeColor="text1"/>
          <w:kern w:val="0"/>
          <w:sz w:val="32"/>
          <w:szCs w:val="32"/>
          <w14:textFill>
            <w14:solidFill>
              <w14:schemeClr w14:val="tx1"/>
            </w14:solidFill>
          </w14:textFill>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（二）事业收入：</w:t>
      </w:r>
      <w:r>
        <w:rPr>
          <w:rFonts w:hint="eastAsia" w:ascii="仿宋_GB2312" w:hAnsi="宋体" w:eastAsia="仿宋_GB2312" w:cs="Times New Roman"/>
          <w:color w:val="000000" w:themeColor="text1"/>
          <w:kern w:val="0"/>
          <w:sz w:val="32"/>
          <w:szCs w:val="32"/>
          <w14:textFill>
            <w14:solidFill>
              <w14:schemeClr w14:val="tx1"/>
            </w14:solidFill>
          </w14:textFill>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（三）其他收入：</w:t>
      </w:r>
      <w:r>
        <w:rPr>
          <w:rFonts w:hint="eastAsia" w:ascii="仿宋_GB2312" w:hAnsi="宋体" w:eastAsia="仿宋_GB2312" w:cs="Times New Roman"/>
          <w:color w:val="000000" w:themeColor="text1"/>
          <w:kern w:val="0"/>
          <w:sz w:val="32"/>
          <w:szCs w:val="32"/>
          <w14:textFill>
            <w14:solidFill>
              <w14:schemeClr w14:val="tx1"/>
            </w14:solidFill>
          </w14:textFill>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（四）用事业基金弥补收支差额：</w:t>
      </w:r>
      <w:r>
        <w:rPr>
          <w:rFonts w:hint="eastAsia" w:ascii="仿宋_GB2312" w:hAnsi="宋体" w:eastAsia="仿宋_GB2312" w:cs="Times New Roman"/>
          <w:color w:val="000000" w:themeColor="text1"/>
          <w:kern w:val="0"/>
          <w:sz w:val="32"/>
          <w:szCs w:val="32"/>
          <w14:textFill>
            <w14:solidFill>
              <w14:schemeClr w14:val="tx1"/>
            </w14:solidFill>
          </w14:textFill>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（五）年初结转和结余：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（六）结余分配：</w:t>
      </w:r>
      <w:r>
        <w:rPr>
          <w:rFonts w:hint="eastAsia" w:ascii="仿宋_GB2312" w:hAnsi="宋体" w:eastAsia="仿宋_GB2312" w:cs="Times New Roman"/>
          <w:color w:val="000000" w:themeColor="text1"/>
          <w:kern w:val="0"/>
          <w:sz w:val="32"/>
          <w:szCs w:val="32"/>
          <w14:textFill>
            <w14:solidFill>
              <w14:schemeClr w14:val="tx1"/>
            </w14:solidFill>
          </w14:textFill>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（七）年末结转和结余：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（八）基本支出：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（九）项目支出：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（十）基本建设支出：</w:t>
      </w:r>
      <w:r>
        <w:rPr>
          <w:rFonts w:hint="eastAsia" w:ascii="仿宋_GB2312" w:hAnsi="宋体" w:eastAsia="仿宋_GB2312" w:cs="Times New Roman"/>
          <w:color w:val="000000" w:themeColor="text1"/>
          <w:kern w:val="0"/>
          <w:sz w:val="32"/>
          <w:szCs w:val="32"/>
          <w14:textFill>
            <w14:solidFill>
              <w14:schemeClr w14:val="tx1"/>
            </w14:solidFill>
          </w14:textFill>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（十一）其他资本性支出：</w:t>
      </w:r>
      <w:r>
        <w:rPr>
          <w:rFonts w:hint="eastAsia" w:ascii="仿宋_GB2312" w:hAnsi="宋体" w:eastAsia="仿宋_GB2312" w:cs="Times New Roman"/>
          <w:color w:val="000000" w:themeColor="text1"/>
          <w:kern w:val="0"/>
          <w:sz w:val="32"/>
          <w:szCs w:val="32"/>
          <w14:textFill>
            <w14:solidFill>
              <w14:schemeClr w14:val="tx1"/>
            </w14:solidFill>
          </w14:textFill>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（十二）“三公”经费：</w:t>
      </w:r>
      <w:r>
        <w:rPr>
          <w:rFonts w:hint="eastAsia" w:ascii="仿宋_GB2312" w:hAnsi="宋体" w:eastAsia="仿宋_GB2312" w:cs="Times New Roman"/>
          <w:color w:val="000000" w:themeColor="text1"/>
          <w:kern w:val="0"/>
          <w:sz w:val="32"/>
          <w:szCs w:val="32"/>
          <w14:textFill>
            <w14:solidFill>
              <w14:schemeClr w14:val="tx1"/>
            </w14:solidFill>
          </w14:textFill>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（十三）其他交通费用：</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（十四）公务用车购置：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（十五）其他交通工具购置：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（十六）机关运行经费：</w:t>
      </w:r>
      <w:r>
        <w:rPr>
          <w:rFonts w:hint="eastAsia" w:ascii="仿宋_GB2312" w:hAnsi="宋体" w:eastAsia="仿宋_GB2312" w:cs="Times New Roman"/>
          <w:color w:val="000000" w:themeColor="text1"/>
          <w:kern w:val="0"/>
          <w:sz w:val="32"/>
          <w:szCs w:val="32"/>
          <w14:textFill>
            <w14:solidFill>
              <w14:schemeClr w14:val="tx1"/>
            </w14:solidFill>
          </w14:textFill>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（十七）经费形式:</w:t>
      </w:r>
      <w:r>
        <w:rPr>
          <w:rFonts w:hint="eastAsia" w:ascii="仿宋_GB2312" w:hAnsi="宋体" w:eastAsia="仿宋_GB2312" w:cs="Times New Roman"/>
          <w:color w:val="000000" w:themeColor="text1"/>
          <w:kern w:val="0"/>
          <w:sz w:val="32"/>
          <w:szCs w:val="32"/>
          <w14:textFill>
            <w14:solidFill>
              <w14:schemeClr w14:val="tx1"/>
            </w14:solidFill>
          </w14:textFill>
        </w:rPr>
        <w:t>按照经费来源，</w:t>
      </w:r>
      <w:r>
        <w:rPr>
          <w:rFonts w:hint="eastAsia" w:ascii="仿宋_GB2312" w:hAnsi="Cambria" w:eastAsia="仿宋_GB2312" w:cs="ArialUnicodeMS"/>
          <w:color w:val="000000" w:themeColor="text1"/>
          <w:kern w:val="0"/>
          <w:sz w:val="32"/>
          <w:szCs w:val="32"/>
          <w14:textFill>
            <w14:solidFill>
              <w14:schemeClr w14:val="tx1"/>
            </w14:solidFill>
          </w14:textFill>
        </w:rPr>
        <w:t>可分为财政拨款、财政性资金基本保证、财政性资金定额或定项补助、财政性资金零补助四类。</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2" w:type="default"/>
          <w:pgSz w:w="11906" w:h="16838"/>
          <w:pgMar w:top="2098" w:right="1474" w:bottom="1985" w:left="1588" w:header="851" w:footer="992" w:gutter="0"/>
          <w:pgNumType w:fmt="decimal"/>
          <w:cols w:space="425" w:num="1"/>
          <w:docGrid w:type="lines" w:linePitch="312" w:charSpace="0"/>
        </w:sectPr>
      </w:pPr>
    </w:p>
    <w:p>
      <w:pPr>
        <w:tabs>
          <w:tab w:val="left" w:pos="235"/>
        </w:tabs>
        <w:jc w:val="left"/>
        <w:rPr>
          <w:color w:val="000000" w:themeColor="text1"/>
          <w14:textFill>
            <w14:solidFill>
              <w14:schemeClr w14:val="tx1"/>
            </w14:solidFill>
          </w14:textFill>
        </w:rPr>
        <w:sectPr>
          <w:headerReference r:id="rId23" w:type="default"/>
          <w:pgSz w:w="11906" w:h="16838"/>
          <w:pgMar w:top="2098" w:right="1474" w:bottom="1985" w:left="1588" w:header="851" w:footer="992" w:gutter="0"/>
          <w:pgNumType w:fmt="decimal"/>
          <w:cols w:space="425" w:num="1"/>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251687936;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gZfdndAAAADQEAAA8AAAAAAAAAAQAgAAAA&#10;IgAAAGRycy9kb3ducmV2LnhtbFBLAQIUABQAAAAIAIdO4kDJ9Vx6eAIAAAgFAAAOAAAAAAAAAAEA&#10;IAAAACwBAABkcnMvZTJvRG9jLnhtbFBLBQYAAAAABgAGAFkBAAAWBgAAAAA=&#10;">
                <v:fill type="pattern" on="t" color2="#FFFFFF [3212]" o:title="5%" focussize="0,0" r:id="rId31"/>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tbl>
      <w:tblPr>
        <w:tblStyle w:val="9"/>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00"/>
        <w:gridCol w:w="567"/>
        <w:gridCol w:w="1336"/>
        <w:gridCol w:w="2700"/>
        <w:gridCol w:w="567"/>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6234.36</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6648.12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20"/>
                <w:szCs w:val="20"/>
                <w:lang w:val="en-US" w:eastAsia="zh-CN"/>
              </w:rPr>
              <w:t>6234.36</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6732.90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855.05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356.52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7089.42</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7089.42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tabs>
          <w:tab w:val="left" w:pos="886"/>
        </w:tabs>
        <w:jc w:val="left"/>
        <w:rPr>
          <w:color w:val="000000" w:themeColor="text1"/>
          <w14:textFill>
            <w14:solidFill>
              <w14:schemeClr w14:val="tx1"/>
            </w14:solidFill>
          </w14:textFill>
        </w:rPr>
      </w:pPr>
    </w:p>
    <w:p>
      <w:pPr>
        <w:pStyle w:val="2"/>
        <w:rPr>
          <w:color w:val="000000" w:themeColor="text1"/>
          <w14:textFill>
            <w14:solidFill>
              <w14:schemeClr w14:val="tx1"/>
            </w14:solidFill>
          </w14:textFill>
        </w:rPr>
      </w:pPr>
    </w:p>
    <w:tbl>
      <w:tblPr>
        <w:tblStyle w:val="9"/>
        <w:tblW w:w="94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7"/>
        <w:gridCol w:w="179"/>
        <w:gridCol w:w="324"/>
        <w:gridCol w:w="2545"/>
        <w:gridCol w:w="166"/>
        <w:gridCol w:w="150"/>
        <w:gridCol w:w="260"/>
        <w:gridCol w:w="384"/>
        <w:gridCol w:w="494"/>
        <w:gridCol w:w="410"/>
        <w:gridCol w:w="41"/>
        <w:gridCol w:w="404"/>
        <w:gridCol w:w="301"/>
        <w:gridCol w:w="109"/>
        <w:gridCol w:w="385"/>
        <w:gridCol w:w="196"/>
        <w:gridCol w:w="214"/>
        <w:gridCol w:w="265"/>
        <w:gridCol w:w="256"/>
        <w:gridCol w:w="154"/>
        <w:gridCol w:w="739"/>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jc w:val="center"/>
        </w:trPr>
        <w:tc>
          <w:tcPr>
            <w:tcW w:w="9423" w:type="dxa"/>
            <w:gridSpan w:val="22"/>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5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24"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5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6"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288"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55" w:type="dxa"/>
            <w:gridSpan w:val="4"/>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79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67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669"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3565" w:type="dxa"/>
            <w:gridSpan w:val="4"/>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66"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288" w:type="dxa"/>
            <w:gridSpan w:val="4"/>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85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79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675"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079"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5" w:hRule="atLeast"/>
          <w:jc w:val="center"/>
        </w:trPr>
        <w:tc>
          <w:tcPr>
            <w:tcW w:w="3565" w:type="dxa"/>
            <w:gridSpan w:val="4"/>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项目</w:t>
            </w:r>
          </w:p>
        </w:tc>
        <w:tc>
          <w:tcPr>
            <w:tcW w:w="960" w:type="dxa"/>
            <w:gridSpan w:val="4"/>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本年收入合计</w:t>
            </w:r>
          </w:p>
        </w:tc>
        <w:tc>
          <w:tcPr>
            <w:tcW w:w="945" w:type="dxa"/>
            <w:gridSpan w:val="3"/>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财政拨款收入</w:t>
            </w:r>
          </w:p>
        </w:tc>
        <w:tc>
          <w:tcPr>
            <w:tcW w:w="705"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上级补助收入</w:t>
            </w:r>
          </w:p>
        </w:tc>
        <w:tc>
          <w:tcPr>
            <w:tcW w:w="690" w:type="dxa"/>
            <w:gridSpan w:val="3"/>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事业</w:t>
            </w:r>
          </w:p>
          <w:p>
            <w:pPr>
              <w:widowControl/>
              <w:spacing w:after="0" w:line="240" w:lineRule="atLeas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收入</w:t>
            </w:r>
          </w:p>
        </w:tc>
        <w:tc>
          <w:tcPr>
            <w:tcW w:w="735" w:type="dxa"/>
            <w:gridSpan w:val="3"/>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经营</w:t>
            </w:r>
          </w:p>
          <w:p>
            <w:pPr>
              <w:widowControl/>
              <w:spacing w:after="0" w:line="240" w:lineRule="atLeas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收入</w:t>
            </w:r>
          </w:p>
        </w:tc>
        <w:tc>
          <w:tcPr>
            <w:tcW w:w="893"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附属单位上缴收入</w:t>
            </w:r>
          </w:p>
        </w:tc>
        <w:tc>
          <w:tcPr>
            <w:tcW w:w="930"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6" w:hRule="atLeast"/>
          <w:jc w:val="center"/>
        </w:trPr>
        <w:tc>
          <w:tcPr>
            <w:tcW w:w="102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功能分类科目编码</w:t>
            </w:r>
          </w:p>
        </w:tc>
        <w:tc>
          <w:tcPr>
            <w:tcW w:w="2545" w:type="dxa"/>
            <w:tcBorders>
              <w:top w:val="nil"/>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科目名称</w:t>
            </w:r>
          </w:p>
        </w:tc>
        <w:tc>
          <w:tcPr>
            <w:tcW w:w="960" w:type="dxa"/>
            <w:gridSpan w:val="4"/>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21"/>
                <w:szCs w:val="21"/>
              </w:rPr>
            </w:pPr>
          </w:p>
        </w:tc>
        <w:tc>
          <w:tcPr>
            <w:tcW w:w="945" w:type="dxa"/>
            <w:gridSpan w:val="3"/>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1"/>
                <w:szCs w:val="21"/>
              </w:rPr>
            </w:pPr>
          </w:p>
        </w:tc>
        <w:tc>
          <w:tcPr>
            <w:tcW w:w="705"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1"/>
                <w:szCs w:val="21"/>
              </w:rPr>
            </w:pPr>
          </w:p>
        </w:tc>
        <w:tc>
          <w:tcPr>
            <w:tcW w:w="690" w:type="dxa"/>
            <w:gridSpan w:val="3"/>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1"/>
                <w:szCs w:val="21"/>
              </w:rPr>
            </w:pPr>
          </w:p>
        </w:tc>
        <w:tc>
          <w:tcPr>
            <w:tcW w:w="735" w:type="dxa"/>
            <w:gridSpan w:val="3"/>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1"/>
                <w:szCs w:val="21"/>
              </w:rPr>
            </w:pPr>
          </w:p>
        </w:tc>
        <w:tc>
          <w:tcPr>
            <w:tcW w:w="893"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1"/>
                <w:szCs w:val="21"/>
              </w:rPr>
            </w:pPr>
          </w:p>
        </w:tc>
        <w:tc>
          <w:tcPr>
            <w:tcW w:w="930"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6" w:hRule="atLeast"/>
          <w:jc w:val="center"/>
        </w:trPr>
        <w:tc>
          <w:tcPr>
            <w:tcW w:w="3565"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栏次</w:t>
            </w:r>
          </w:p>
        </w:tc>
        <w:tc>
          <w:tcPr>
            <w:tcW w:w="96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1</w:t>
            </w:r>
          </w:p>
        </w:tc>
        <w:tc>
          <w:tcPr>
            <w:tcW w:w="94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2</w:t>
            </w:r>
          </w:p>
        </w:tc>
        <w:tc>
          <w:tcPr>
            <w:tcW w:w="7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3</w:t>
            </w:r>
          </w:p>
        </w:tc>
        <w:tc>
          <w:tcPr>
            <w:tcW w:w="69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4</w:t>
            </w:r>
          </w:p>
        </w:tc>
        <w:tc>
          <w:tcPr>
            <w:tcW w:w="7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5</w:t>
            </w:r>
          </w:p>
        </w:tc>
        <w:tc>
          <w:tcPr>
            <w:tcW w:w="8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6</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7" w:hRule="atLeast"/>
          <w:jc w:val="center"/>
        </w:trPr>
        <w:tc>
          <w:tcPr>
            <w:tcW w:w="3565"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1"/>
                <w:szCs w:val="21"/>
              </w:rPr>
            </w:pPr>
            <w:r>
              <w:rPr>
                <w:rFonts w:hint="eastAsia" w:ascii="宋体" w:hAnsi="宋体" w:cs="宋体"/>
                <w:color w:val="000000"/>
                <w:kern w:val="0"/>
                <w:sz w:val="21"/>
                <w:szCs w:val="21"/>
              </w:rPr>
              <w:t>合计</w:t>
            </w:r>
          </w:p>
        </w:tc>
        <w:tc>
          <w:tcPr>
            <w:tcW w:w="960" w:type="dxa"/>
            <w:gridSpan w:val="4"/>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6234.36</w:t>
            </w:r>
          </w:p>
        </w:tc>
        <w:tc>
          <w:tcPr>
            <w:tcW w:w="94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6234.36</w:t>
            </w:r>
          </w:p>
        </w:tc>
        <w:tc>
          <w:tcPr>
            <w:tcW w:w="705"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p>
        </w:tc>
        <w:tc>
          <w:tcPr>
            <w:tcW w:w="69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73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893"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93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102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208</w:t>
            </w:r>
          </w:p>
        </w:tc>
        <w:tc>
          <w:tcPr>
            <w:tcW w:w="254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21"/>
                <w:szCs w:val="21"/>
              </w:rPr>
            </w:pPr>
            <w:r>
              <w:rPr>
                <w:rFonts w:hint="eastAsia" w:ascii="宋体" w:hAnsi="宋体" w:cs="宋体"/>
                <w:color w:val="000000"/>
                <w:sz w:val="21"/>
                <w:szCs w:val="21"/>
              </w:rPr>
              <w:t>社会保障和就业支出</w:t>
            </w:r>
          </w:p>
        </w:tc>
        <w:tc>
          <w:tcPr>
            <w:tcW w:w="96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43.08</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43.08</w:t>
            </w:r>
          </w:p>
        </w:tc>
        <w:tc>
          <w:tcPr>
            <w:tcW w:w="7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69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73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8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102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20805</w:t>
            </w:r>
          </w:p>
        </w:tc>
        <w:tc>
          <w:tcPr>
            <w:tcW w:w="254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21"/>
                <w:szCs w:val="21"/>
              </w:rPr>
            </w:pPr>
            <w:r>
              <w:rPr>
                <w:rFonts w:hint="eastAsia" w:ascii="宋体" w:hAnsi="宋体" w:cs="宋体"/>
                <w:color w:val="000000"/>
                <w:sz w:val="21"/>
                <w:szCs w:val="21"/>
              </w:rPr>
              <w:t>行政事业单位离退休</w:t>
            </w:r>
          </w:p>
        </w:tc>
        <w:tc>
          <w:tcPr>
            <w:tcW w:w="96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43.08</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43.08</w:t>
            </w:r>
          </w:p>
        </w:tc>
        <w:tc>
          <w:tcPr>
            <w:tcW w:w="7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69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73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8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jc w:val="center"/>
        </w:trPr>
        <w:tc>
          <w:tcPr>
            <w:tcW w:w="102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2080505</w:t>
            </w:r>
          </w:p>
        </w:tc>
        <w:tc>
          <w:tcPr>
            <w:tcW w:w="254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21"/>
                <w:szCs w:val="21"/>
              </w:rPr>
            </w:pPr>
            <w:r>
              <w:rPr>
                <w:rFonts w:hint="eastAsia" w:ascii="宋体" w:hAnsi="宋体" w:cs="宋体"/>
                <w:color w:val="000000"/>
                <w:sz w:val="21"/>
                <w:szCs w:val="21"/>
              </w:rPr>
              <w:t>机关事业单位基本养老保险缴费支出</w:t>
            </w:r>
          </w:p>
        </w:tc>
        <w:tc>
          <w:tcPr>
            <w:tcW w:w="96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43.08</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43.08</w:t>
            </w:r>
          </w:p>
        </w:tc>
        <w:tc>
          <w:tcPr>
            <w:tcW w:w="7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69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73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8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jc w:val="center"/>
        </w:trPr>
        <w:tc>
          <w:tcPr>
            <w:tcW w:w="102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210</w:t>
            </w:r>
          </w:p>
        </w:tc>
        <w:tc>
          <w:tcPr>
            <w:tcW w:w="254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21"/>
                <w:szCs w:val="21"/>
              </w:rPr>
            </w:pPr>
            <w:r>
              <w:rPr>
                <w:rFonts w:hint="eastAsia" w:ascii="宋体" w:hAnsi="宋体" w:cs="宋体"/>
                <w:color w:val="000000"/>
                <w:sz w:val="21"/>
                <w:szCs w:val="21"/>
              </w:rPr>
              <w:t>卫生健康支出</w:t>
            </w:r>
          </w:p>
        </w:tc>
        <w:tc>
          <w:tcPr>
            <w:tcW w:w="96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15.69</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15.69</w:t>
            </w:r>
          </w:p>
        </w:tc>
        <w:tc>
          <w:tcPr>
            <w:tcW w:w="7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69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73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8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102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21011</w:t>
            </w:r>
          </w:p>
        </w:tc>
        <w:tc>
          <w:tcPr>
            <w:tcW w:w="254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21"/>
                <w:szCs w:val="21"/>
              </w:rPr>
            </w:pPr>
            <w:r>
              <w:rPr>
                <w:rFonts w:hint="eastAsia" w:ascii="宋体" w:hAnsi="宋体" w:cs="宋体"/>
                <w:color w:val="000000"/>
                <w:sz w:val="21"/>
                <w:szCs w:val="21"/>
              </w:rPr>
              <w:t>行政事业单位医疗</w:t>
            </w:r>
          </w:p>
        </w:tc>
        <w:tc>
          <w:tcPr>
            <w:tcW w:w="96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15.69</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15.69</w:t>
            </w:r>
          </w:p>
        </w:tc>
        <w:tc>
          <w:tcPr>
            <w:tcW w:w="7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69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73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8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102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2101101</w:t>
            </w:r>
          </w:p>
        </w:tc>
        <w:tc>
          <w:tcPr>
            <w:tcW w:w="254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21"/>
                <w:szCs w:val="21"/>
              </w:rPr>
            </w:pPr>
            <w:r>
              <w:rPr>
                <w:rFonts w:hint="eastAsia" w:ascii="宋体" w:hAnsi="宋体" w:cs="宋体"/>
                <w:color w:val="000000"/>
                <w:sz w:val="21"/>
                <w:szCs w:val="21"/>
              </w:rPr>
              <w:t>行政单位医疗</w:t>
            </w:r>
          </w:p>
        </w:tc>
        <w:tc>
          <w:tcPr>
            <w:tcW w:w="96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11.59</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11.59</w:t>
            </w:r>
          </w:p>
        </w:tc>
        <w:tc>
          <w:tcPr>
            <w:tcW w:w="7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69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73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8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102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2101102</w:t>
            </w:r>
          </w:p>
        </w:tc>
        <w:tc>
          <w:tcPr>
            <w:tcW w:w="254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21"/>
                <w:szCs w:val="21"/>
              </w:rPr>
            </w:pPr>
            <w:r>
              <w:rPr>
                <w:rFonts w:hint="eastAsia" w:ascii="宋体" w:hAnsi="宋体" w:cs="宋体"/>
                <w:color w:val="000000"/>
                <w:sz w:val="21"/>
                <w:szCs w:val="21"/>
              </w:rPr>
              <w:t>事业单位医疗</w:t>
            </w:r>
          </w:p>
        </w:tc>
        <w:tc>
          <w:tcPr>
            <w:tcW w:w="96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4.10</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4.10</w:t>
            </w:r>
          </w:p>
        </w:tc>
        <w:tc>
          <w:tcPr>
            <w:tcW w:w="7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69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73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8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 w:hRule="atLeast"/>
          <w:jc w:val="center"/>
        </w:trPr>
        <w:tc>
          <w:tcPr>
            <w:tcW w:w="102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212</w:t>
            </w:r>
          </w:p>
        </w:tc>
        <w:tc>
          <w:tcPr>
            <w:tcW w:w="254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21"/>
                <w:szCs w:val="21"/>
              </w:rPr>
            </w:pPr>
            <w:r>
              <w:rPr>
                <w:rFonts w:hint="eastAsia" w:ascii="宋体" w:hAnsi="宋体" w:cs="宋体"/>
                <w:color w:val="000000"/>
                <w:sz w:val="21"/>
                <w:szCs w:val="21"/>
              </w:rPr>
              <w:t>城乡社区支出</w:t>
            </w:r>
          </w:p>
        </w:tc>
        <w:tc>
          <w:tcPr>
            <w:tcW w:w="96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6149.58</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6149.58</w:t>
            </w:r>
          </w:p>
        </w:tc>
        <w:tc>
          <w:tcPr>
            <w:tcW w:w="7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69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73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8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 w:hRule="atLeast"/>
          <w:jc w:val="center"/>
        </w:trPr>
        <w:tc>
          <w:tcPr>
            <w:tcW w:w="102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21201</w:t>
            </w:r>
          </w:p>
        </w:tc>
        <w:tc>
          <w:tcPr>
            <w:tcW w:w="254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21"/>
                <w:szCs w:val="21"/>
              </w:rPr>
            </w:pPr>
            <w:r>
              <w:rPr>
                <w:rFonts w:hint="eastAsia" w:ascii="宋体" w:hAnsi="宋体" w:cs="宋体"/>
                <w:color w:val="000000"/>
                <w:sz w:val="21"/>
                <w:szCs w:val="21"/>
              </w:rPr>
              <w:t>城乡社区管理事务</w:t>
            </w:r>
          </w:p>
        </w:tc>
        <w:tc>
          <w:tcPr>
            <w:tcW w:w="96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3735.44</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3735.44</w:t>
            </w:r>
          </w:p>
        </w:tc>
        <w:tc>
          <w:tcPr>
            <w:tcW w:w="7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69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73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8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jc w:val="center"/>
        </w:trPr>
        <w:tc>
          <w:tcPr>
            <w:tcW w:w="102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2120104</w:t>
            </w:r>
          </w:p>
        </w:tc>
        <w:tc>
          <w:tcPr>
            <w:tcW w:w="254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21"/>
                <w:szCs w:val="21"/>
              </w:rPr>
            </w:pPr>
            <w:r>
              <w:rPr>
                <w:rFonts w:hint="eastAsia" w:ascii="宋体" w:hAnsi="宋体" w:cs="宋体"/>
                <w:color w:val="000000"/>
                <w:sz w:val="21"/>
                <w:szCs w:val="21"/>
              </w:rPr>
              <w:t>城管执法</w:t>
            </w:r>
          </w:p>
        </w:tc>
        <w:tc>
          <w:tcPr>
            <w:tcW w:w="96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3735.44</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3735.44</w:t>
            </w:r>
          </w:p>
        </w:tc>
        <w:tc>
          <w:tcPr>
            <w:tcW w:w="7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69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73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8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jc w:val="center"/>
        </w:trPr>
        <w:tc>
          <w:tcPr>
            <w:tcW w:w="102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21205</w:t>
            </w:r>
          </w:p>
        </w:tc>
        <w:tc>
          <w:tcPr>
            <w:tcW w:w="254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21"/>
                <w:szCs w:val="21"/>
              </w:rPr>
            </w:pPr>
            <w:r>
              <w:rPr>
                <w:rFonts w:hint="eastAsia" w:ascii="宋体" w:hAnsi="宋体" w:cs="宋体"/>
                <w:color w:val="000000"/>
                <w:sz w:val="21"/>
                <w:szCs w:val="21"/>
              </w:rPr>
              <w:t>城乡社区环境卫生</w:t>
            </w:r>
          </w:p>
        </w:tc>
        <w:tc>
          <w:tcPr>
            <w:tcW w:w="96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2414.14</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2414.14</w:t>
            </w:r>
          </w:p>
        </w:tc>
        <w:tc>
          <w:tcPr>
            <w:tcW w:w="7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69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73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8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jc w:val="center"/>
        </w:trPr>
        <w:tc>
          <w:tcPr>
            <w:tcW w:w="102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2120501</w:t>
            </w:r>
          </w:p>
        </w:tc>
        <w:tc>
          <w:tcPr>
            <w:tcW w:w="254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21"/>
                <w:szCs w:val="21"/>
              </w:rPr>
            </w:pPr>
            <w:r>
              <w:rPr>
                <w:rFonts w:hint="eastAsia" w:ascii="宋体" w:hAnsi="宋体" w:cs="宋体"/>
                <w:color w:val="000000"/>
                <w:sz w:val="21"/>
                <w:szCs w:val="21"/>
              </w:rPr>
              <w:t>城乡社区环境卫生</w:t>
            </w:r>
          </w:p>
        </w:tc>
        <w:tc>
          <w:tcPr>
            <w:tcW w:w="96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2414.14</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2414.14</w:t>
            </w:r>
          </w:p>
        </w:tc>
        <w:tc>
          <w:tcPr>
            <w:tcW w:w="7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69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73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8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1" w:hRule="atLeast"/>
          <w:jc w:val="center"/>
        </w:trPr>
        <w:tc>
          <w:tcPr>
            <w:tcW w:w="102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221</w:t>
            </w:r>
          </w:p>
        </w:tc>
        <w:tc>
          <w:tcPr>
            <w:tcW w:w="254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21"/>
                <w:szCs w:val="21"/>
              </w:rPr>
            </w:pPr>
            <w:r>
              <w:rPr>
                <w:rFonts w:hint="eastAsia" w:ascii="宋体" w:hAnsi="宋体" w:cs="宋体"/>
                <w:color w:val="000000"/>
                <w:sz w:val="21"/>
                <w:szCs w:val="21"/>
              </w:rPr>
              <w:t>住房保障支出</w:t>
            </w:r>
          </w:p>
        </w:tc>
        <w:tc>
          <w:tcPr>
            <w:tcW w:w="96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26.01</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26.01</w:t>
            </w:r>
          </w:p>
        </w:tc>
        <w:tc>
          <w:tcPr>
            <w:tcW w:w="7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69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73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8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jc w:val="center"/>
        </w:trPr>
        <w:tc>
          <w:tcPr>
            <w:tcW w:w="102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22102</w:t>
            </w:r>
          </w:p>
        </w:tc>
        <w:tc>
          <w:tcPr>
            <w:tcW w:w="254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21"/>
                <w:szCs w:val="21"/>
              </w:rPr>
            </w:pPr>
            <w:r>
              <w:rPr>
                <w:rFonts w:hint="eastAsia" w:ascii="宋体" w:hAnsi="宋体" w:cs="宋体"/>
                <w:color w:val="000000"/>
                <w:sz w:val="21"/>
                <w:szCs w:val="21"/>
              </w:rPr>
              <w:t>住房改革支出</w:t>
            </w:r>
          </w:p>
        </w:tc>
        <w:tc>
          <w:tcPr>
            <w:tcW w:w="96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26.01</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26.01</w:t>
            </w:r>
          </w:p>
        </w:tc>
        <w:tc>
          <w:tcPr>
            <w:tcW w:w="7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69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73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8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atLeast"/>
          <w:jc w:val="center"/>
        </w:trPr>
        <w:tc>
          <w:tcPr>
            <w:tcW w:w="102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2210201</w:t>
            </w:r>
          </w:p>
        </w:tc>
        <w:tc>
          <w:tcPr>
            <w:tcW w:w="254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21"/>
                <w:szCs w:val="21"/>
              </w:rPr>
            </w:pPr>
            <w:r>
              <w:rPr>
                <w:rFonts w:hint="eastAsia" w:ascii="宋体" w:hAnsi="宋体" w:cs="宋体"/>
                <w:color w:val="000000"/>
                <w:sz w:val="21"/>
                <w:szCs w:val="21"/>
              </w:rPr>
              <w:t>住房公积金</w:t>
            </w:r>
          </w:p>
        </w:tc>
        <w:tc>
          <w:tcPr>
            <w:tcW w:w="960" w:type="dxa"/>
            <w:gridSpan w:val="4"/>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26.01</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cs="宋体"/>
                <w:color w:val="000000"/>
                <w:sz w:val="20"/>
                <w:szCs w:val="20"/>
                <w:lang w:val="en-US" w:eastAsia="zh-CN"/>
              </w:rPr>
              <w:t>26.01</w:t>
            </w:r>
          </w:p>
        </w:tc>
        <w:tc>
          <w:tcPr>
            <w:tcW w:w="70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690"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73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89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c>
          <w:tcPr>
            <w:tcW w:w="93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b w:val="0"/>
                <w:bCs/>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atLeast"/>
          <w:jc w:val="center"/>
        </w:trPr>
        <w:tc>
          <w:tcPr>
            <w:tcW w:w="9423" w:type="dxa"/>
            <w:gridSpan w:val="22"/>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tbl>
      <w:tblPr>
        <w:tblStyle w:val="9"/>
        <w:tblW w:w="91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0"/>
        <w:gridCol w:w="289"/>
        <w:gridCol w:w="362"/>
        <w:gridCol w:w="2205"/>
        <w:gridCol w:w="450"/>
        <w:gridCol w:w="90"/>
        <w:gridCol w:w="578"/>
        <w:gridCol w:w="277"/>
        <w:gridCol w:w="263"/>
        <w:gridCol w:w="580"/>
        <w:gridCol w:w="540"/>
        <w:gridCol w:w="357"/>
        <w:gridCol w:w="221"/>
        <w:gridCol w:w="540"/>
        <w:gridCol w:w="124"/>
        <w:gridCol w:w="885"/>
        <w:gridCol w:w="111"/>
        <w:gridCol w:w="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8" w:hRule="atLeast"/>
        </w:trPr>
        <w:tc>
          <w:tcPr>
            <w:tcW w:w="9161" w:type="dxa"/>
            <w:gridSpan w:val="18"/>
            <w:tcBorders>
              <w:top w:val="nil"/>
              <w:left w:val="nil"/>
              <w:bottom w:val="nil"/>
              <w:right w:val="nil"/>
            </w:tcBorders>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trPr>
        <w:tc>
          <w:tcPr>
            <w:tcW w:w="2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62"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65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999" w:type="dxa"/>
            <w:tcBorders>
              <w:top w:val="nil"/>
              <w:left w:val="nil"/>
              <w:bottom w:val="nil"/>
              <w:right w:val="nil"/>
            </w:tcBorders>
            <w:tcMar>
              <w:top w:w="15" w:type="dxa"/>
              <w:left w:w="15" w:type="dxa"/>
              <w:right w:w="15" w:type="dxa"/>
            </w:tcMar>
            <w:vAlign w:val="center"/>
          </w:tcPr>
          <w:p>
            <w:pPr>
              <w:widowControl/>
              <w:spacing w:after="0" w:line="240" w:lineRule="atLeast"/>
              <w:jc w:val="both"/>
              <w:textAlignment w:val="center"/>
              <w:rPr>
                <w:rFonts w:ascii="宋体" w:hAnsi="宋体" w:cs="宋体"/>
                <w:color w:val="000000"/>
                <w:szCs w:val="21"/>
              </w:rPr>
            </w:pPr>
            <w:r>
              <w:rPr>
                <w:rFonts w:hint="eastAsia" w:ascii="宋体" w:hAnsi="宋体" w:cs="宋体"/>
                <w:color w:val="000000"/>
                <w:kern w:val="0"/>
                <w:szCs w:val="21"/>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3146" w:type="dxa"/>
            <w:gridSpan w:val="4"/>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118"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3"/>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659" w:type="dxa"/>
            <w:gridSpan w:val="5"/>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7" w:hRule="atLeast"/>
        </w:trPr>
        <w:tc>
          <w:tcPr>
            <w:tcW w:w="359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945" w:type="dxa"/>
            <w:gridSpan w:val="3"/>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84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rPr>
              <w:t>基本</w:t>
            </w:r>
          </w:p>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支出</w:t>
            </w:r>
          </w:p>
        </w:tc>
        <w:tc>
          <w:tcPr>
            <w:tcW w:w="897"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rPr>
              <w:t>项目</w:t>
            </w:r>
          </w:p>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支出</w:t>
            </w:r>
          </w:p>
        </w:tc>
        <w:tc>
          <w:tcPr>
            <w:tcW w:w="885" w:type="dxa"/>
            <w:gridSpan w:val="3"/>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885"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Cs w:val="21"/>
              </w:rPr>
            </w:pPr>
            <w:r>
              <w:rPr>
                <w:rFonts w:hint="eastAsia" w:ascii="宋体" w:hAnsi="宋体" w:cs="宋体"/>
                <w:color w:val="000000"/>
                <w:kern w:val="0"/>
                <w:szCs w:val="21"/>
              </w:rPr>
              <w:t>经营</w:t>
            </w:r>
          </w:p>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支出</w:t>
            </w:r>
          </w:p>
        </w:tc>
        <w:tc>
          <w:tcPr>
            <w:tcW w:w="1110"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trPr>
        <w:tc>
          <w:tcPr>
            <w:tcW w:w="94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6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945" w:type="dxa"/>
            <w:gridSpan w:val="3"/>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84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897"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885" w:type="dxa"/>
            <w:gridSpan w:val="3"/>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885"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10"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3596"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栏次</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w:t>
            </w: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w:t>
            </w: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w:t>
            </w: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3596"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合计</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6732.90</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992.81</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5740.08</w:t>
            </w: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b w:val="0"/>
                <w:bCs/>
                <w:color w:val="000000"/>
                <w:sz w:val="21"/>
                <w:szCs w:val="21"/>
                <w:lang w:val="en-US" w:eastAsia="zh-CN"/>
              </w:rPr>
            </w:pP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b w:val="0"/>
                <w:bCs/>
                <w:color w:val="000000"/>
                <w:sz w:val="21"/>
                <w:szCs w:val="21"/>
                <w:lang w:val="en-US" w:eastAsia="zh-CN"/>
              </w:rPr>
            </w:pP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b w:val="0"/>
                <w:bCs/>
                <w:color w:val="00000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208</w:t>
            </w:r>
          </w:p>
        </w:tc>
        <w:tc>
          <w:tcPr>
            <w:tcW w:w="26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rPr>
              <w:t>社会保障和就业支出</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43.08</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43.08</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20805</w:t>
            </w:r>
          </w:p>
        </w:tc>
        <w:tc>
          <w:tcPr>
            <w:tcW w:w="26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rPr>
              <w:t>行政事业单位离退休</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43.08</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43.08</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2080505</w:t>
            </w:r>
          </w:p>
        </w:tc>
        <w:tc>
          <w:tcPr>
            <w:tcW w:w="26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rPr>
              <w:t>机关事业单位基本养老保险缴费支出</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43.08</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43.08</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210</w:t>
            </w:r>
          </w:p>
        </w:tc>
        <w:tc>
          <w:tcPr>
            <w:tcW w:w="26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rPr>
              <w:t>卫生健康支出</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cs="宋体"/>
                <w:color w:val="000000"/>
                <w:sz w:val="20"/>
                <w:szCs w:val="20"/>
                <w:lang w:val="en-US" w:eastAsia="zh-CN"/>
              </w:rPr>
              <w:t>15.69</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kern w:val="2"/>
                <w:sz w:val="21"/>
                <w:szCs w:val="21"/>
                <w:lang w:val="en-US" w:eastAsia="zh-CN" w:bidi="ar-SA"/>
              </w:rPr>
            </w:pPr>
            <w:r>
              <w:rPr>
                <w:rFonts w:hint="eastAsia" w:ascii="宋体" w:hAnsi="宋体" w:cs="宋体"/>
                <w:color w:val="000000"/>
                <w:sz w:val="20"/>
                <w:szCs w:val="20"/>
                <w:lang w:val="en-US" w:eastAsia="zh-CN"/>
              </w:rPr>
              <w:t>15.69</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21011</w:t>
            </w:r>
          </w:p>
        </w:tc>
        <w:tc>
          <w:tcPr>
            <w:tcW w:w="26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rPr>
              <w:t>行政事业单位医疗</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cs="宋体"/>
                <w:color w:val="000000"/>
                <w:sz w:val="20"/>
                <w:szCs w:val="20"/>
                <w:lang w:val="en-US" w:eastAsia="zh-CN"/>
              </w:rPr>
              <w:t>15.69</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kern w:val="2"/>
                <w:sz w:val="21"/>
                <w:szCs w:val="21"/>
                <w:lang w:val="en-US" w:eastAsia="zh-CN" w:bidi="ar-SA"/>
              </w:rPr>
            </w:pPr>
            <w:r>
              <w:rPr>
                <w:rFonts w:hint="eastAsia" w:ascii="宋体" w:hAnsi="宋体" w:cs="宋体"/>
                <w:color w:val="000000"/>
                <w:sz w:val="20"/>
                <w:szCs w:val="20"/>
                <w:lang w:val="en-US" w:eastAsia="zh-CN"/>
              </w:rPr>
              <w:t>15.69</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2101101</w:t>
            </w:r>
          </w:p>
        </w:tc>
        <w:tc>
          <w:tcPr>
            <w:tcW w:w="26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rPr>
              <w:t>行政单位医疗</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11.59</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11.59</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2101102</w:t>
            </w:r>
          </w:p>
        </w:tc>
        <w:tc>
          <w:tcPr>
            <w:tcW w:w="26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rPr>
              <w:t>事业单位医疗</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cs="宋体"/>
                <w:b w:val="0"/>
                <w:bCs/>
                <w:color w:val="000000"/>
                <w:sz w:val="21"/>
                <w:szCs w:val="21"/>
                <w:lang w:val="en-US" w:eastAsia="zh-CN"/>
              </w:rPr>
              <w:t>4.10</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kern w:val="2"/>
                <w:sz w:val="21"/>
                <w:szCs w:val="21"/>
                <w:lang w:val="en-US" w:eastAsia="zh-CN" w:bidi="ar-SA"/>
              </w:rPr>
            </w:pPr>
            <w:r>
              <w:rPr>
                <w:rFonts w:hint="eastAsia" w:ascii="宋体" w:hAnsi="宋体" w:cs="宋体"/>
                <w:b w:val="0"/>
                <w:bCs/>
                <w:color w:val="000000"/>
                <w:sz w:val="21"/>
                <w:szCs w:val="21"/>
                <w:lang w:val="en-US" w:eastAsia="zh-CN"/>
              </w:rPr>
              <w:t>4.10</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212</w:t>
            </w:r>
          </w:p>
        </w:tc>
        <w:tc>
          <w:tcPr>
            <w:tcW w:w="26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rPr>
              <w:t>城乡社区支出</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6648.12</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908.04</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5740.08</w:t>
            </w: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21201</w:t>
            </w:r>
          </w:p>
        </w:tc>
        <w:tc>
          <w:tcPr>
            <w:tcW w:w="26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rPr>
              <w:t>城乡社区管理事务</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4147.19</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830.04</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3317.15</w:t>
            </w: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2120104</w:t>
            </w:r>
          </w:p>
        </w:tc>
        <w:tc>
          <w:tcPr>
            <w:tcW w:w="26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rPr>
              <w:t>城管执法</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4147.19</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830.04</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3317.15</w:t>
            </w: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21205</w:t>
            </w:r>
          </w:p>
        </w:tc>
        <w:tc>
          <w:tcPr>
            <w:tcW w:w="26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rPr>
              <w:t>城乡社区环境卫生</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2500.93</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78.00</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2422.93</w:t>
            </w: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2120501</w:t>
            </w:r>
          </w:p>
        </w:tc>
        <w:tc>
          <w:tcPr>
            <w:tcW w:w="26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rPr>
              <w:t>城乡社区环境卫生</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2500.93</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78.00</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2422.93</w:t>
            </w: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221</w:t>
            </w:r>
          </w:p>
        </w:tc>
        <w:tc>
          <w:tcPr>
            <w:tcW w:w="26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rPr>
              <w:t>住房保障支出</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cs="宋体"/>
                <w:color w:val="000000"/>
                <w:sz w:val="20"/>
                <w:szCs w:val="20"/>
                <w:lang w:val="en-US" w:eastAsia="zh-CN"/>
              </w:rPr>
              <w:t>26.01</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cs="宋体"/>
                <w:color w:val="000000"/>
                <w:sz w:val="20"/>
                <w:szCs w:val="20"/>
                <w:lang w:val="en-US" w:eastAsia="zh-CN"/>
              </w:rPr>
              <w:t>26.01</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22102</w:t>
            </w:r>
          </w:p>
        </w:tc>
        <w:tc>
          <w:tcPr>
            <w:tcW w:w="26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rPr>
              <w:t>住房改革支出</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cs="宋体"/>
                <w:color w:val="000000"/>
                <w:sz w:val="20"/>
                <w:szCs w:val="20"/>
                <w:lang w:val="en-US" w:eastAsia="zh-CN"/>
              </w:rPr>
              <w:t>26.01</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cs="宋体"/>
                <w:color w:val="000000"/>
                <w:sz w:val="20"/>
                <w:szCs w:val="20"/>
                <w:lang w:val="en-US" w:eastAsia="zh-CN"/>
              </w:rPr>
              <w:t>26.01</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trPr>
        <w:tc>
          <w:tcPr>
            <w:tcW w:w="941"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2210201</w:t>
            </w:r>
          </w:p>
        </w:tc>
        <w:tc>
          <w:tcPr>
            <w:tcW w:w="265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1"/>
                <w:szCs w:val="21"/>
              </w:rPr>
            </w:pPr>
            <w:r>
              <w:rPr>
                <w:rFonts w:hint="eastAsia" w:ascii="宋体" w:hAnsi="宋体" w:eastAsia="宋体" w:cs="宋体"/>
                <w:color w:val="000000"/>
                <w:sz w:val="21"/>
                <w:szCs w:val="21"/>
              </w:rPr>
              <w:t>住房公积金</w:t>
            </w:r>
          </w:p>
        </w:tc>
        <w:tc>
          <w:tcPr>
            <w:tcW w:w="94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cs="宋体"/>
                <w:color w:val="000000"/>
                <w:sz w:val="20"/>
                <w:szCs w:val="20"/>
                <w:lang w:val="en-US" w:eastAsia="zh-CN"/>
              </w:rPr>
              <w:t>26.01</w:t>
            </w:r>
          </w:p>
        </w:tc>
        <w:tc>
          <w:tcPr>
            <w:tcW w:w="84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lang w:val="en-US" w:eastAsia="zh-CN"/>
              </w:rPr>
            </w:pPr>
            <w:r>
              <w:rPr>
                <w:rFonts w:hint="eastAsia" w:ascii="宋体" w:hAnsi="宋体" w:cs="宋体"/>
                <w:color w:val="000000"/>
                <w:sz w:val="20"/>
                <w:szCs w:val="20"/>
                <w:lang w:val="en-US" w:eastAsia="zh-CN"/>
              </w:rPr>
              <w:t>26.01</w:t>
            </w:r>
          </w:p>
        </w:tc>
        <w:tc>
          <w:tcPr>
            <w:tcW w:w="89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88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c>
          <w:tcPr>
            <w:tcW w:w="1110"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9161" w:type="dxa"/>
            <w:gridSpan w:val="18"/>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tbl>
      <w:tblPr>
        <w:tblStyle w:val="9"/>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7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650"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20"/>
                <w:szCs w:val="20"/>
                <w:lang w:val="en-US" w:eastAsia="zh-CN"/>
              </w:rPr>
              <w:t>6234.36</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rPr>
            </w:pPr>
            <w:r>
              <w:rPr>
                <w:rFonts w:hint="eastAsia" w:ascii="宋体" w:hAnsi="宋体" w:cs="宋体"/>
                <w:color w:val="000000"/>
                <w:sz w:val="20"/>
                <w:szCs w:val="20"/>
                <w:lang w:val="en-US" w:eastAsia="zh-CN"/>
              </w:rPr>
              <w:t>43.08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rPr>
            </w:pPr>
            <w:r>
              <w:rPr>
                <w:rFonts w:hint="eastAsia" w:ascii="宋体" w:hAnsi="宋体" w:cs="宋体"/>
                <w:color w:val="000000"/>
                <w:sz w:val="20"/>
                <w:szCs w:val="20"/>
                <w:lang w:val="en-US" w:eastAsia="zh-CN"/>
              </w:rPr>
              <w:t>43.08</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rPr>
            </w:pPr>
            <w:r>
              <w:rPr>
                <w:rFonts w:hint="eastAsia" w:ascii="宋体" w:hAnsi="宋体" w:cs="宋体"/>
                <w:color w:val="000000"/>
                <w:sz w:val="20"/>
                <w:szCs w:val="20"/>
                <w:lang w:val="en-US" w:eastAsia="zh-CN"/>
              </w:rPr>
              <w:t>15.69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cs="宋体"/>
                <w:color w:val="000000"/>
                <w:sz w:val="18"/>
                <w:szCs w:val="18"/>
                <w:lang w:val="en-US"/>
              </w:rPr>
            </w:pPr>
            <w:r>
              <w:rPr>
                <w:rFonts w:hint="eastAsia" w:ascii="宋体" w:hAnsi="宋体" w:cs="宋体"/>
                <w:color w:val="000000"/>
                <w:sz w:val="20"/>
                <w:szCs w:val="20"/>
                <w:lang w:val="en-US" w:eastAsia="zh-CN"/>
              </w:rPr>
              <w:t>15.69</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20"/>
                <w:szCs w:val="20"/>
                <w:lang w:val="en-US" w:eastAsia="zh-CN"/>
              </w:rPr>
              <w:t>6648.12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20"/>
                <w:szCs w:val="20"/>
                <w:lang w:val="en-US" w:eastAsia="zh-CN"/>
              </w:rPr>
              <w:t>6648.12</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20"/>
                <w:szCs w:val="20"/>
                <w:lang w:val="en-US" w:eastAsia="zh-CN"/>
              </w:rPr>
              <w:t>26.01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20"/>
                <w:szCs w:val="20"/>
                <w:lang w:val="en-US" w:eastAsia="zh-CN"/>
              </w:rPr>
              <w:t>26.01</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20"/>
                <w:szCs w:val="20"/>
                <w:lang w:val="en-US" w:eastAsia="zh-CN"/>
              </w:rPr>
              <w:t>6234.36</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20"/>
                <w:szCs w:val="20"/>
                <w:lang w:val="en-US" w:eastAsia="zh-CN"/>
              </w:rPr>
              <w:t>6732.90</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20"/>
                <w:szCs w:val="20"/>
                <w:lang w:val="en-US" w:eastAsia="zh-CN"/>
              </w:rPr>
              <w:t>6732.90</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855.05</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356.52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356.52</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855.05</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7089.42</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7089.42</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7089.42</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8940" w:type="dxa"/>
            <w:gridSpan w:val="12"/>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tbl>
      <w:tblPr>
        <w:tblStyle w:val="9"/>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31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892" w:type="dxa"/>
            <w:gridSpan w:val="2"/>
            <w:tcBorders>
              <w:top w:val="nil"/>
              <w:left w:val="nil"/>
              <w:bottom w:val="nil"/>
              <w:right w:val="nil"/>
            </w:tcBorders>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3102"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Cs w:val="21"/>
                <w:lang w:val="en-US" w:eastAsia="zh-CN"/>
              </w:rPr>
            </w:pPr>
            <w:r>
              <w:rPr>
                <w:rFonts w:hint="eastAsia" w:ascii="宋体" w:hAnsi="宋体" w:cs="宋体"/>
                <w:color w:val="000000"/>
                <w:sz w:val="20"/>
                <w:szCs w:val="20"/>
                <w:lang w:val="en-US" w:eastAsia="zh-CN"/>
              </w:rPr>
              <w:t>6732.90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Cs w:val="21"/>
                <w:lang w:val="en-US" w:eastAsia="zh-CN"/>
              </w:rPr>
            </w:pPr>
            <w:r>
              <w:rPr>
                <w:rFonts w:hint="eastAsia" w:ascii="宋体" w:hAnsi="宋体" w:eastAsia="宋体" w:cs="宋体"/>
                <w:b w:val="0"/>
                <w:bCs/>
                <w:color w:val="000000"/>
                <w:sz w:val="21"/>
                <w:szCs w:val="21"/>
                <w:lang w:val="en-US" w:eastAsia="zh-CN"/>
              </w:rPr>
              <w:t>992.81</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5740.08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社会保障和就业支出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eastAsia="宋体" w:cs="宋体"/>
                <w:color w:val="000000"/>
                <w:sz w:val="21"/>
                <w:szCs w:val="21"/>
                <w:lang w:val="en-US" w:eastAsia="zh-CN"/>
              </w:rPr>
              <w:t>43.08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43.08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行政事业单位离退休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eastAsia="宋体" w:cs="宋体"/>
                <w:color w:val="000000"/>
                <w:sz w:val="21"/>
                <w:szCs w:val="21"/>
                <w:lang w:val="en-US" w:eastAsia="zh-CN"/>
              </w:rPr>
              <w:t>43.08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43.08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2080505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机关事业单位基本养老保险缴费支出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eastAsia="宋体" w:cs="宋体"/>
                <w:color w:val="000000"/>
                <w:sz w:val="21"/>
                <w:szCs w:val="21"/>
                <w:lang w:val="en-US" w:eastAsia="zh-CN"/>
              </w:rPr>
              <w:t>43.08</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val="en-US" w:eastAsia="zh-CN"/>
              </w:rPr>
              <w:t>43.08</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卫生健康支出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 w:val="20"/>
                <w:szCs w:val="20"/>
                <w:lang w:val="en-US" w:eastAsia="zh-CN"/>
              </w:rPr>
              <w:t>15.69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 w:val="20"/>
                <w:szCs w:val="20"/>
                <w:lang w:val="en-US" w:eastAsia="zh-CN"/>
              </w:rPr>
              <w:t>15.69</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 w:val="20"/>
                <w:szCs w:val="20"/>
                <w:lang w:val="en-US" w:eastAsia="zh-CN"/>
              </w:rPr>
              <w:t>15.69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 w:val="20"/>
                <w:szCs w:val="20"/>
                <w:lang w:val="en-US" w:eastAsia="zh-CN"/>
              </w:rPr>
              <w:t>15.69</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11.59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11.59</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2101102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事业单位医疗</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b w:val="0"/>
                <w:bCs/>
                <w:color w:val="000000"/>
                <w:sz w:val="21"/>
                <w:szCs w:val="21"/>
                <w:lang w:val="en-US" w:eastAsia="zh-CN"/>
              </w:rPr>
              <w:t>4.10</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kern w:val="2"/>
                <w:sz w:val="21"/>
                <w:szCs w:val="21"/>
                <w:lang w:val="en-US" w:eastAsia="zh-CN" w:bidi="ar-SA"/>
              </w:rPr>
            </w:pPr>
            <w:r>
              <w:rPr>
                <w:rFonts w:hint="eastAsia" w:ascii="宋体" w:hAnsi="宋体" w:cs="宋体"/>
                <w:b w:val="0"/>
                <w:bCs/>
                <w:color w:val="000000"/>
                <w:sz w:val="21"/>
                <w:szCs w:val="21"/>
                <w:lang w:val="en-US" w:eastAsia="zh-CN"/>
              </w:rPr>
              <w:t>4.10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城乡社区支出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eastAsia="宋体" w:cs="宋体"/>
                <w:color w:val="000000"/>
                <w:sz w:val="21"/>
                <w:szCs w:val="21"/>
                <w:lang w:val="en-US" w:eastAsia="zh-CN"/>
              </w:rPr>
              <w:t>6648.12</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eastAsia="宋体" w:cs="宋体"/>
                <w:color w:val="000000"/>
                <w:sz w:val="21"/>
                <w:szCs w:val="21"/>
                <w:lang w:val="en-US" w:eastAsia="zh-CN"/>
              </w:rPr>
              <w:t>908.04</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5740.08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21201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城乡社区管理事务</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4147.19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830.04</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3317.15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cs="宋体"/>
                <w:color w:val="000000"/>
                <w:szCs w:val="21"/>
                <w:lang w:val="en-US" w:eastAsia="zh-CN"/>
              </w:rPr>
            </w:pPr>
            <w:r>
              <w:rPr>
                <w:rFonts w:hint="eastAsia" w:ascii="宋体" w:hAnsi="宋体" w:cs="宋体"/>
                <w:color w:val="000000"/>
                <w:szCs w:val="21"/>
                <w:lang w:val="en-US" w:eastAsia="zh-CN"/>
              </w:rPr>
              <w:t>2120104</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城管执法</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4147.19</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830.04</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3317.15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cs="宋体"/>
                <w:color w:val="000000"/>
                <w:szCs w:val="21"/>
                <w:lang w:val="en-US" w:eastAsia="zh-CN"/>
              </w:rPr>
            </w:pPr>
            <w:r>
              <w:rPr>
                <w:rFonts w:hint="eastAsia" w:ascii="宋体" w:hAnsi="宋体" w:cs="宋体"/>
                <w:color w:val="000000"/>
                <w:szCs w:val="21"/>
                <w:lang w:val="en-US" w:eastAsia="zh-CN"/>
              </w:rPr>
              <w:t>21205</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城乡社区环境卫生</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eastAsia="宋体" w:cs="宋体"/>
                <w:color w:val="000000"/>
                <w:sz w:val="21"/>
                <w:szCs w:val="21"/>
                <w:lang w:val="en-US" w:eastAsia="zh-CN"/>
              </w:rPr>
              <w:t>2500.93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eastAsia="宋体" w:cs="宋体"/>
                <w:color w:val="000000"/>
                <w:sz w:val="21"/>
                <w:szCs w:val="21"/>
                <w:lang w:val="en-US" w:eastAsia="zh-CN"/>
              </w:rPr>
              <w:t>78.00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2422.93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cs="宋体"/>
                <w:color w:val="000000"/>
                <w:szCs w:val="21"/>
                <w:lang w:val="en-US" w:eastAsia="zh-CN"/>
              </w:rPr>
            </w:pPr>
            <w:r>
              <w:rPr>
                <w:rFonts w:hint="eastAsia" w:ascii="宋体" w:hAnsi="宋体" w:cs="宋体"/>
                <w:color w:val="000000"/>
                <w:szCs w:val="21"/>
                <w:lang w:val="en-US" w:eastAsia="zh-CN"/>
              </w:rPr>
              <w:t>2120501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城乡社区环境卫生</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eastAsia="宋体" w:cs="宋体"/>
                <w:color w:val="000000"/>
                <w:sz w:val="21"/>
                <w:szCs w:val="21"/>
                <w:lang w:val="en-US" w:eastAsia="zh-CN"/>
              </w:rPr>
              <w:t>2500.93</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eastAsia="宋体" w:cs="宋体"/>
                <w:color w:val="000000"/>
                <w:sz w:val="21"/>
                <w:szCs w:val="21"/>
                <w:lang w:val="en-US" w:eastAsia="zh-CN"/>
              </w:rPr>
              <w:t>78.00</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2422.93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cs="宋体"/>
                <w:color w:val="000000"/>
                <w:szCs w:val="21"/>
                <w:lang w:val="en-US" w:eastAsia="zh-CN"/>
              </w:rPr>
            </w:pPr>
            <w:r>
              <w:rPr>
                <w:rFonts w:hint="eastAsia" w:ascii="宋体" w:hAnsi="宋体" w:cs="宋体"/>
                <w:color w:val="000000"/>
                <w:szCs w:val="21"/>
                <w:lang w:val="en-US" w:eastAsia="zh-CN"/>
              </w:rPr>
              <w:t>221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住房保障支出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 w:val="20"/>
                <w:szCs w:val="20"/>
                <w:lang w:val="en-US" w:eastAsia="zh-CN"/>
              </w:rPr>
              <w:t>26.01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 w:val="20"/>
                <w:szCs w:val="20"/>
                <w:lang w:val="en-US" w:eastAsia="zh-CN"/>
              </w:rPr>
              <w:t>26.01</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cs="宋体"/>
                <w:color w:val="000000"/>
                <w:szCs w:val="21"/>
                <w:lang w:val="en-US" w:eastAsia="zh-CN"/>
              </w:rPr>
            </w:pPr>
            <w:r>
              <w:rPr>
                <w:rFonts w:hint="eastAsia" w:ascii="宋体" w:hAnsi="宋体" w:cs="宋体"/>
                <w:color w:val="000000"/>
                <w:szCs w:val="21"/>
                <w:lang w:val="en-US" w:eastAsia="zh-CN"/>
              </w:rPr>
              <w:t>22102</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住房改革支出</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 w:val="20"/>
                <w:szCs w:val="20"/>
                <w:lang w:val="en-US" w:eastAsia="zh-CN"/>
              </w:rPr>
              <w:t>26.01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 w:val="20"/>
                <w:szCs w:val="20"/>
                <w:lang w:val="en-US" w:eastAsia="zh-CN"/>
              </w:rPr>
              <w:t>26.01</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99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hint="default" w:ascii="宋体" w:hAnsi="宋体" w:cs="宋体"/>
                <w:color w:val="000000"/>
                <w:szCs w:val="21"/>
                <w:lang w:val="en-US" w:eastAsia="zh-CN"/>
              </w:rPr>
            </w:pPr>
            <w:r>
              <w:rPr>
                <w:rFonts w:hint="eastAsia" w:ascii="宋体" w:hAnsi="宋体" w:cs="宋体"/>
                <w:color w:val="000000"/>
                <w:szCs w:val="21"/>
                <w:lang w:val="en-US" w:eastAsia="zh-CN"/>
              </w:rPr>
              <w:t>2210201</w:t>
            </w:r>
          </w:p>
        </w:tc>
        <w:tc>
          <w:tcPr>
            <w:tcW w:w="210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住房公积金</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 w:val="20"/>
                <w:szCs w:val="20"/>
                <w:lang w:val="en-US" w:eastAsia="zh-CN"/>
              </w:rPr>
              <w:t>26.01</w:t>
            </w:r>
          </w:p>
        </w:tc>
        <w:tc>
          <w:tcPr>
            <w:tcW w:w="1919"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 w:val="20"/>
                <w:szCs w:val="20"/>
                <w:lang w:val="en-US" w:eastAsia="zh-CN"/>
              </w:rPr>
              <w:t>26.01</w:t>
            </w:r>
          </w:p>
        </w:tc>
        <w:tc>
          <w:tcPr>
            <w:tcW w:w="192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trPr>
        <w:tc>
          <w:tcPr>
            <w:tcW w:w="8860" w:type="dxa"/>
            <w:gridSpan w:val="9"/>
            <w:tcBorders>
              <w:top w:val="nil"/>
              <w:left w:val="nil"/>
              <w:bottom w:val="nil"/>
              <w:right w:val="nil"/>
            </w:tcBorders>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tbl>
      <w:tblPr>
        <w:tblStyle w:val="9"/>
        <w:tblW w:w="91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p>
        </w:tc>
        <w:tc>
          <w:tcPr>
            <w:tcW w:w="74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819.86</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86.88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129.97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6.16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48.52</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0.08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40.77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249.87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1.30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81.58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4.41</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14.49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39.33</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5.34</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1.13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27.47</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1.55</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200.00</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86.08</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0.12</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9.24</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3.69</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3.90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0.76</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2.29</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cs="宋体"/>
                <w:color w:val="000000"/>
                <w:sz w:val="16"/>
                <w:szCs w:val="16"/>
                <w:lang w:val="en-US" w:eastAsia="zh-CN"/>
              </w:rPr>
            </w:pPr>
            <w:r>
              <w:rPr>
                <w:rFonts w:hint="eastAsia" w:ascii="宋体" w:hAnsi="宋体" w:cs="宋体"/>
                <w:color w:val="000000"/>
                <w:sz w:val="16"/>
                <w:szCs w:val="16"/>
                <w:lang w:val="en-US" w:eastAsia="zh-CN"/>
              </w:rPr>
              <w:t>73.15</w:t>
            </w: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4.08</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30.00</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1.33</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8.95</w:t>
            </w:r>
          </w:p>
        </w:tc>
        <w:tc>
          <w:tcPr>
            <w:tcW w:w="56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905.94</w:t>
            </w:r>
          </w:p>
        </w:tc>
        <w:tc>
          <w:tcPr>
            <w:tcW w:w="5328"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tbl>
      <w:tblPr>
        <w:tblStyle w:val="9"/>
        <w:tblW w:w="8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8"/>
        <w:gridCol w:w="1527"/>
        <w:gridCol w:w="1528"/>
        <w:gridCol w:w="1530"/>
        <w:gridCol w:w="1530"/>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1527" w:type="dxa"/>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30.00</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30.00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30.00</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30.00</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30.00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30.00</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tbl>
      <w:tblPr>
        <w:tblStyle w:val="9"/>
        <w:tblW w:w="8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96"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840"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3" w:hRule="atLeast"/>
        </w:trPr>
        <w:tc>
          <w:tcPr>
            <w:tcW w:w="8860" w:type="dxa"/>
            <w:gridSpan w:val="11"/>
            <w:tcBorders>
              <w:top w:val="nil"/>
              <w:left w:val="nil"/>
              <w:bottom w:val="nil"/>
              <w:right w:val="nil"/>
            </w:tcBorders>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注：本部门本年度</w:t>
            </w:r>
            <w:r>
              <w:rPr>
                <w:rFonts w:hint="eastAsia" w:ascii="宋体" w:hAnsi="宋体" w:cs="宋体"/>
                <w:color w:val="000000"/>
                <w:kern w:val="0"/>
                <w:sz w:val="22"/>
                <w:szCs w:val="22"/>
                <w:lang w:val="en-US" w:eastAsia="zh-CN"/>
              </w:rPr>
              <w:t>无</w:t>
            </w:r>
            <w:r>
              <w:rPr>
                <w:rFonts w:hint="eastAsia" w:ascii="宋体" w:hAnsi="宋体" w:cs="宋体"/>
                <w:color w:val="000000"/>
                <w:kern w:val="0"/>
                <w:szCs w:val="21"/>
              </w:rPr>
              <w:t>政府性基金预算财政拨款收入、支出及结转和结余情况</w:t>
            </w:r>
            <w:r>
              <w:rPr>
                <w:rFonts w:hint="eastAsia" w:ascii="宋体" w:hAnsi="宋体" w:cs="宋体"/>
                <w:color w:val="000000"/>
                <w:kern w:val="0"/>
                <w:szCs w:val="21"/>
                <w:lang w:val="en-US" w:eastAsia="zh-CN"/>
              </w:rPr>
              <w:t>,按要求</w:t>
            </w:r>
            <w:r>
              <w:rPr>
                <w:rFonts w:hint="eastAsia" w:ascii="宋体" w:hAnsi="宋体" w:cs="宋体"/>
                <w:color w:val="000000"/>
                <w:kern w:val="0"/>
                <w:sz w:val="22"/>
                <w:szCs w:val="22"/>
                <w:lang w:val="en-US" w:eastAsia="zh-CN"/>
              </w:rPr>
              <w:t>空表列示</w:t>
            </w:r>
            <w:r>
              <w:rPr>
                <w:rFonts w:hint="eastAsia" w:ascii="宋体" w:hAnsi="宋体" w:cs="宋体"/>
                <w:color w:val="000000"/>
                <w:kern w:val="0"/>
                <w:sz w:val="22"/>
                <w:szCs w:val="22"/>
              </w:rPr>
              <w:t>。</w:t>
            </w:r>
            <w:r>
              <w:rPr>
                <w:rFonts w:hint="eastAsia" w:ascii="宋体" w:hAnsi="宋体" w:cs="宋体"/>
                <w:color w:val="000000"/>
                <w:kern w:val="0"/>
                <w:szCs w:val="21"/>
              </w:rPr>
              <w:t xml:space="preserve">        </w:t>
            </w:r>
          </w:p>
        </w:tc>
      </w:tr>
    </w:tbl>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jc w:val="left"/>
        <w:rPr>
          <w:color w:val="000000" w:themeColor="text1"/>
          <w14:textFill>
            <w14:solidFill>
              <w14:schemeClr w14:val="tx1"/>
            </w14:solidFill>
          </w14:textFill>
        </w:rPr>
      </w:pPr>
    </w:p>
    <w:tbl>
      <w:tblPr>
        <w:tblStyle w:val="9"/>
        <w:tblW w:w="8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44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p>
        </w:tc>
        <w:tc>
          <w:tcPr>
            <w:tcW w:w="2005" w:type="dxa"/>
            <w:gridSpan w:val="2"/>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6"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w:t>
            </w:r>
            <w:r>
              <w:rPr>
                <w:rFonts w:hint="eastAsia" w:ascii="宋体" w:hAnsi="宋体" w:cs="宋体"/>
                <w:color w:val="000000"/>
                <w:kern w:val="0"/>
                <w:szCs w:val="21"/>
              </w:rPr>
              <w:t>本部门本年度</w:t>
            </w:r>
            <w:r>
              <w:rPr>
                <w:rFonts w:hint="eastAsia" w:ascii="宋体" w:hAnsi="宋体" w:cs="宋体"/>
                <w:color w:val="000000"/>
                <w:kern w:val="0"/>
                <w:sz w:val="22"/>
                <w:szCs w:val="22"/>
                <w:lang w:val="en-US" w:eastAsia="zh-CN"/>
              </w:rPr>
              <w:t>无</w:t>
            </w:r>
            <w:r>
              <w:rPr>
                <w:rFonts w:hint="eastAsia" w:ascii="宋体" w:hAnsi="宋体" w:cs="宋体"/>
                <w:color w:val="000000"/>
                <w:kern w:val="0"/>
                <w:sz w:val="22"/>
                <w:szCs w:val="22"/>
              </w:rPr>
              <w:t>国有资本经营预算财政拨款支出</w:t>
            </w:r>
            <w:r>
              <w:rPr>
                <w:rFonts w:hint="eastAsia" w:ascii="宋体" w:hAnsi="宋体" w:cs="宋体"/>
                <w:color w:val="000000"/>
                <w:kern w:val="0"/>
                <w:sz w:val="22"/>
                <w:szCs w:val="22"/>
                <w:lang w:val="en-US" w:eastAsia="zh-CN"/>
              </w:rPr>
              <w:t>,</w:t>
            </w:r>
            <w:r>
              <w:rPr>
                <w:rFonts w:hint="eastAsia" w:ascii="宋体" w:hAnsi="宋体" w:cs="宋体"/>
                <w:color w:val="000000"/>
                <w:kern w:val="0"/>
                <w:szCs w:val="21"/>
                <w:lang w:val="en-US" w:eastAsia="zh-CN"/>
              </w:rPr>
              <w:t>按要求</w:t>
            </w:r>
            <w:r>
              <w:rPr>
                <w:rFonts w:hint="eastAsia" w:ascii="宋体" w:hAnsi="宋体" w:cs="宋体"/>
                <w:color w:val="000000"/>
                <w:kern w:val="0"/>
                <w:sz w:val="22"/>
                <w:szCs w:val="22"/>
                <w:lang w:val="en-US" w:eastAsia="zh-CN"/>
              </w:rPr>
              <w:t>空表列示</w:t>
            </w:r>
            <w:r>
              <w:rPr>
                <w:rFonts w:hint="eastAsia" w:ascii="宋体" w:hAnsi="宋体" w:cs="宋体"/>
                <w:color w:val="000000"/>
                <w:kern w:val="0"/>
                <w:sz w:val="22"/>
                <w:szCs w:val="22"/>
              </w:rPr>
              <w:t>。</w:t>
            </w:r>
          </w:p>
        </w:tc>
      </w:tr>
    </w:tbl>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sectPr>
          <w:headerReference r:id="rId25" w:type="first"/>
          <w:headerReference r:id="rId24" w:type="default"/>
          <w:footerReference r:id="rId26" w:type="default"/>
          <w:pgSz w:w="11906" w:h="16838"/>
          <w:pgMar w:top="1701" w:right="1417" w:bottom="1281" w:left="1417" w:header="851" w:footer="992" w:gutter="0"/>
          <w:pgNumType w:fmt="numberInDash"/>
          <w:cols w:space="0" w:num="1"/>
          <w:docGrid w:type="lines" w:linePitch="312" w:charSpace="0"/>
        </w:sectPr>
      </w:pPr>
    </w:p>
    <w:p>
      <w:pPr>
        <w:pStyle w:val="2"/>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8" name="文本框 2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88960;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eG4KAXgCAAAGBQAADgAAAAAAAAABACAA&#10;AAAqAQAAZHJzL2Uyb0RvYy54bWxQSwUGAAAAAAYABgBZAQAAFAYAAAAA&#10;">
                <v:fill type="pattern" on="t" color2="#FFFFFF [3212]" o:title="5%" focussize="0,0" r:id="rId31"/>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sectPr>
          <w:headerReference r:id="rId27" w:type="default"/>
          <w:footerReference r:id="rId28" w:type="default"/>
          <w:pgSz w:w="11906" w:h="16838"/>
          <w:pgMar w:top="1701" w:right="1417" w:bottom="1281" w:left="1417" w:header="851" w:footer="992" w:gutter="0"/>
          <w:pgNumType w:fmt="decimal"/>
          <w:cols w:space="0" w:num="1"/>
          <w:docGrid w:type="lines" w:linePitch="312" w:charSpace="0"/>
        </w:sectPr>
      </w:pPr>
      <w:r>
        <w:rPr>
          <w:color w:val="000000" w:themeColor="text1"/>
          <w14:textFill>
            <w14:solidFill>
              <w14:schemeClr w14:val="tx1"/>
            </w14:solidFill>
          </w14:textFill>
        </w:rPr>
        <w:br w:type="page"/>
      </w:r>
    </w:p>
    <w:p>
      <w:pPr>
        <w:spacing w:line="584"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一、预算绩效情况说明</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（一）预算绩效管理工作开展情况</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根据预算绩效管理要求，本部门对2019年度整体绩效实现情况和项目支出情况开展绩效评价。组织对2019年度一般公共预算项目支出全面开展绩效自评，项目</w:t>
      </w:r>
      <w:r>
        <w:rPr>
          <w:rFonts w:hint="eastAsia" w:ascii="Times New Roman" w:hAnsi="Times New Roman" w:eastAsia="仿宋_GB2312" w:cs="Times New Roman"/>
          <w:color w:val="000000"/>
          <w:sz w:val="32"/>
          <w:szCs w:val="32"/>
          <w:lang w:val="en-US" w:eastAsia="zh-CN"/>
        </w:rPr>
        <w:t>24</w:t>
      </w:r>
      <w:r>
        <w:rPr>
          <w:rFonts w:ascii="Times New Roman" w:hAnsi="Times New Roman" w:eastAsia="仿宋_GB2312" w:cs="Times New Roman"/>
          <w:color w:val="000000"/>
          <w:sz w:val="32"/>
          <w:szCs w:val="32"/>
        </w:rPr>
        <w:t>个，涉及资金</w:t>
      </w:r>
      <w:r>
        <w:rPr>
          <w:rFonts w:hint="eastAsia" w:eastAsia="仿宋_GB2312"/>
          <w:color w:val="000000"/>
          <w:kern w:val="0"/>
          <w:sz w:val="32"/>
          <w:szCs w:val="32"/>
          <w:lang w:val="en-US" w:eastAsia="zh-CN"/>
        </w:rPr>
        <w:t>4363.94</w:t>
      </w:r>
      <w:r>
        <w:rPr>
          <w:rFonts w:ascii="Times New Roman" w:hAnsi="Times New Roman" w:eastAsia="仿宋_GB2312" w:cs="Times New Roman"/>
          <w:color w:val="000000"/>
          <w:sz w:val="32"/>
          <w:szCs w:val="32"/>
        </w:rPr>
        <w:t>万元，占一般公共预算项目支出总额的</w:t>
      </w:r>
      <w:r>
        <w:rPr>
          <w:rFonts w:hint="eastAsia" w:ascii="Times New Roman" w:hAnsi="Times New Roman" w:eastAsia="仿宋_GB2312" w:cs="Times New Roman"/>
          <w:color w:val="000000"/>
          <w:sz w:val="32"/>
          <w:szCs w:val="32"/>
          <w:lang w:val="en-US" w:eastAsia="zh-CN"/>
        </w:rPr>
        <w:t>76.03%</w:t>
      </w:r>
      <w:r>
        <w:rPr>
          <w:rFonts w:ascii="Times New Roman" w:hAnsi="Times New Roman" w:eastAsia="仿宋_GB2312" w:cs="Times New Roman"/>
          <w:color w:val="000000"/>
          <w:sz w:val="32"/>
          <w:szCs w:val="32"/>
        </w:rPr>
        <w:t>。组织对“</w:t>
      </w:r>
      <w:r>
        <w:rPr>
          <w:rFonts w:hint="eastAsia" w:ascii="Times New Roman" w:hAnsi="Times New Roman" w:eastAsia="仿宋_GB2312" w:cs="Times New Roman"/>
          <w:color w:val="000000"/>
          <w:sz w:val="32"/>
          <w:szCs w:val="32"/>
          <w:lang w:val="en-US" w:eastAsia="zh-CN"/>
        </w:rPr>
        <w:t>城区道路亮化提升项目”“</w:t>
      </w:r>
      <w:r>
        <w:rPr>
          <w:rFonts w:hint="eastAsia" w:ascii="Times New Roman" w:hAnsi="Times New Roman" w:eastAsia="仿宋_GB2312" w:cs="Times New Roman"/>
          <w:color w:val="000000"/>
          <w:sz w:val="32"/>
          <w:szCs w:val="32"/>
          <w:lang w:eastAsia="zh-CN"/>
        </w:rPr>
        <w:t>农村生活垃圾清扫、保洁、清运一体化处理PPP项目中期评估费</w:t>
      </w:r>
      <w:r>
        <w:rPr>
          <w:rFonts w:ascii="Times New Roman" w:hAnsi="Times New Roman" w:eastAsia="仿宋_GB2312" w:cs="Times New Roman"/>
          <w:color w:val="000000"/>
          <w:sz w:val="32"/>
          <w:szCs w:val="32"/>
        </w:rPr>
        <w:t>”等</w:t>
      </w:r>
      <w:r>
        <w:rPr>
          <w:rFonts w:hint="eastAsia" w:ascii="Times New Roman" w:hAnsi="Times New Roman" w:eastAsia="仿宋_GB2312" w:cs="Times New Roman"/>
          <w:color w:val="000000"/>
          <w:sz w:val="32"/>
          <w:szCs w:val="32"/>
          <w:lang w:val="en-US" w:eastAsia="zh-CN"/>
        </w:rPr>
        <w:t>24</w:t>
      </w:r>
      <w:r>
        <w:rPr>
          <w:rFonts w:ascii="Times New Roman" w:hAnsi="Times New Roman" w:eastAsia="仿宋_GB2312" w:cs="Times New Roman"/>
          <w:color w:val="000000"/>
          <w:sz w:val="32"/>
          <w:szCs w:val="32"/>
        </w:rPr>
        <w:t>个项目开展了部门评价，涉及一般公共预算支出</w:t>
      </w:r>
      <w:r>
        <w:rPr>
          <w:rFonts w:hint="eastAsia" w:eastAsia="仿宋_GB2312"/>
          <w:color w:val="000000"/>
          <w:kern w:val="0"/>
          <w:sz w:val="32"/>
          <w:szCs w:val="32"/>
          <w:lang w:val="en-US" w:eastAsia="zh-CN"/>
        </w:rPr>
        <w:t>4363.94</w:t>
      </w:r>
      <w:r>
        <w:rPr>
          <w:rFonts w:ascii="Times New Roman" w:hAnsi="Times New Roman" w:eastAsia="仿宋_GB2312" w:cs="Times New Roman"/>
          <w:color w:val="000000"/>
          <w:sz w:val="32"/>
          <w:szCs w:val="32"/>
        </w:rPr>
        <w:t>万元。</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（二）部门绩效评价结果</w:t>
      </w:r>
    </w:p>
    <w:p>
      <w:pPr>
        <w:spacing w:line="584"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1.项目绩效自评结果。</w:t>
      </w:r>
      <w:r>
        <w:rPr>
          <w:rFonts w:ascii="Times New Roman" w:hAnsi="Times New Roman" w:eastAsia="仿宋_GB2312" w:cs="Times New Roman"/>
          <w:color w:val="000000"/>
          <w:sz w:val="32"/>
          <w:szCs w:val="32"/>
        </w:rPr>
        <w:t>本部门2019 年度对</w:t>
      </w:r>
      <w:r>
        <w:rPr>
          <w:rFonts w:hint="eastAsia" w:ascii="Times New Roman" w:hAnsi="Times New Roman" w:eastAsia="仿宋_GB2312" w:cs="Times New Roman"/>
          <w:color w:val="000000"/>
          <w:sz w:val="32"/>
          <w:szCs w:val="32"/>
          <w:lang w:val="en-US" w:eastAsia="zh-CN"/>
        </w:rPr>
        <w:t>24</w:t>
      </w:r>
      <w:r>
        <w:rPr>
          <w:rFonts w:ascii="Times New Roman" w:hAnsi="Times New Roman" w:eastAsia="仿宋_GB2312" w:cs="Times New Roman"/>
          <w:color w:val="000000"/>
          <w:sz w:val="32"/>
          <w:szCs w:val="32"/>
        </w:rPr>
        <w:t>个项目进行了绩效自评，项目自评结果</w:t>
      </w:r>
      <w:r>
        <w:rPr>
          <w:rFonts w:hint="eastAsia" w:ascii="Times New Roman" w:hAnsi="Times New Roman" w:eastAsia="仿宋_GB2312" w:cs="Times New Roman"/>
          <w:color w:val="000000"/>
          <w:sz w:val="32"/>
          <w:szCs w:val="32"/>
          <w:lang w:eastAsia="zh-CN"/>
        </w:rPr>
        <w:t>为</w:t>
      </w:r>
      <w:r>
        <w:rPr>
          <w:rFonts w:hint="eastAsia" w:ascii="Times New Roman" w:hAnsi="Times New Roman" w:eastAsia="仿宋_GB2312" w:cs="Times New Roman"/>
          <w:color w:val="000000"/>
          <w:sz w:val="32"/>
          <w:szCs w:val="32"/>
          <w:lang w:val="en-US" w:eastAsia="zh-CN"/>
        </w:rPr>
        <w:t>24个项目均为</w:t>
      </w:r>
      <w:r>
        <w:rPr>
          <w:rFonts w:ascii="Times New Roman" w:hAnsi="Times New Roman" w:eastAsia="仿宋_GB2312" w:cs="Times New Roman"/>
          <w:color w:val="000000"/>
          <w:sz w:val="32"/>
          <w:szCs w:val="32"/>
        </w:rPr>
        <w:t>90 分以上。在部门决算公开中反映</w:t>
      </w:r>
      <w:r>
        <w:rPr>
          <w:rFonts w:hint="eastAsia" w:ascii="Times New Roman" w:hAnsi="Times New Roman" w:eastAsia="仿宋_GB2312" w:cs="Times New Roman"/>
          <w:color w:val="000000"/>
          <w:sz w:val="32"/>
          <w:szCs w:val="32"/>
        </w:rPr>
        <w:t>大厂回族自治县农村生活垃圾清扫、保洁、清运一体化处理PPP项目中期评估费</w:t>
      </w:r>
      <w:r>
        <w:rPr>
          <w:rFonts w:hint="eastAsia" w:ascii="Times New Roman" w:hAnsi="Times New Roman" w:eastAsia="仿宋_GB2312" w:cs="Times New Roman"/>
          <w:color w:val="000000"/>
          <w:sz w:val="32"/>
          <w:szCs w:val="32"/>
          <w:lang w:val="en-US" w:eastAsia="zh-CN"/>
        </w:rPr>
        <w:t>及城区道路亮化提升项目2</w:t>
      </w:r>
      <w:r>
        <w:rPr>
          <w:rFonts w:ascii="Times New Roman" w:hAnsi="Times New Roman" w:eastAsia="仿宋_GB2312" w:cs="Times New Roman"/>
          <w:color w:val="000000"/>
          <w:sz w:val="32"/>
          <w:szCs w:val="32"/>
        </w:rPr>
        <w:t>个项目绩效自评结果。</w:t>
      </w:r>
    </w:p>
    <w:p>
      <w:pPr>
        <w:widowControl/>
        <w:numPr>
          <w:ilvl w:val="0"/>
          <w:numId w:val="0"/>
        </w:numPr>
        <w:tabs>
          <w:tab w:val="left" w:pos="0"/>
        </w:tabs>
        <w:adjustRightInd w:val="0"/>
        <w:snapToGrid w:val="0"/>
        <w:spacing w:line="580" w:lineRule="exact"/>
        <w:ind w:firstLine="320" w:firstLineChars="100"/>
        <w:jc w:val="left"/>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eastAsia="zh-CN"/>
        </w:rPr>
        <w:t>）农村生活垃圾清扫、保洁、清运一体化处理PPP项目中期评估费自评</w:t>
      </w:r>
      <w:r>
        <w:rPr>
          <w:rFonts w:ascii="Times New Roman" w:hAnsi="Times New Roman" w:eastAsia="仿宋_GB2312" w:cs="Times New Roman"/>
          <w:color w:val="000000"/>
          <w:sz w:val="32"/>
          <w:szCs w:val="32"/>
        </w:rPr>
        <w:t>综述：根据年初设定的绩效目标，</w:t>
      </w:r>
      <w:r>
        <w:rPr>
          <w:rFonts w:hint="eastAsia" w:ascii="Times New Roman" w:hAnsi="Times New Roman" w:eastAsia="仿宋_GB2312" w:cs="Times New Roman"/>
          <w:color w:val="000000"/>
          <w:sz w:val="32"/>
          <w:szCs w:val="32"/>
          <w:lang w:eastAsia="zh-CN"/>
        </w:rPr>
        <w:t>农村生活垃圾清扫、保洁、清运一体化处理PPP项目中期评估费</w:t>
      </w:r>
      <w:r>
        <w:rPr>
          <w:rFonts w:ascii="Times New Roman" w:hAnsi="Times New Roman" w:eastAsia="仿宋_GB2312" w:cs="Times New Roman"/>
          <w:color w:val="000000"/>
          <w:sz w:val="32"/>
          <w:szCs w:val="32"/>
        </w:rPr>
        <w:t>绩效自评得分为</w:t>
      </w:r>
      <w:r>
        <w:rPr>
          <w:rFonts w:hint="eastAsia" w:ascii="Times New Roman" w:hAnsi="Times New Roman" w:eastAsia="仿宋_GB2312" w:cs="Times New Roman"/>
          <w:color w:val="000000"/>
          <w:sz w:val="32"/>
          <w:szCs w:val="32"/>
          <w:lang w:val="en-US" w:eastAsia="zh-CN"/>
        </w:rPr>
        <w:t>98</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15</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15</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rPr>
        <w:t>通过PPP模式引入专业的有管理经验的环卫公司进行农村生活垃圾清扫、保洁、清运，使农村村街环境整洁有序，防止村街产生垃圾累积污染环境。</w:t>
      </w:r>
      <w:r>
        <w:rPr>
          <w:rFonts w:ascii="Times New Roman" w:hAnsi="Times New Roman" w:eastAsia="仿宋_GB2312" w:cs="Times New Roman"/>
          <w:color w:val="000000"/>
          <w:sz w:val="32"/>
          <w:szCs w:val="32"/>
        </w:rPr>
        <w:t>发现的主要问题及原因：</w:t>
      </w:r>
      <w:r>
        <w:rPr>
          <w:rFonts w:hint="eastAsia" w:ascii="Times New Roman" w:hAnsi="Times New Roman" w:eastAsia="仿宋_GB2312" w:cs="Times New Roman"/>
          <w:color w:val="000000"/>
          <w:sz w:val="32"/>
          <w:szCs w:val="32"/>
          <w:lang w:val="en-US" w:eastAsia="zh-CN"/>
        </w:rPr>
        <w:t>服务对象满意度指标</w:t>
      </w:r>
      <w:r>
        <w:rPr>
          <w:rFonts w:hint="eastAsia" w:ascii="Times New Roman" w:hAnsi="Times New Roman" w:eastAsia="仿宋_GB2312" w:cs="Times New Roman"/>
          <w:color w:val="000000"/>
          <w:sz w:val="32"/>
          <w:szCs w:val="32"/>
          <w:lang w:eastAsia="zh-CN"/>
        </w:rPr>
        <w:t>未完成，主要原因是</w:t>
      </w:r>
      <w:r>
        <w:rPr>
          <w:rFonts w:hint="eastAsia" w:ascii="Times New Roman" w:hAnsi="Times New Roman" w:eastAsia="仿宋_GB2312" w:cs="Times New Roman"/>
          <w:color w:val="000000"/>
          <w:sz w:val="32"/>
          <w:szCs w:val="32"/>
          <w:lang w:val="en-US" w:eastAsia="zh-CN"/>
        </w:rPr>
        <w:t>群众满意度还有待提高</w:t>
      </w:r>
      <w:r>
        <w:rPr>
          <w:rFonts w:ascii="Times New Roman" w:hAnsi="Times New Roman" w:eastAsia="仿宋_GB2312" w:cs="Times New Roman"/>
          <w:color w:val="000000"/>
          <w:sz w:val="32"/>
          <w:szCs w:val="32"/>
        </w:rPr>
        <w:t>。下一步改进措施：</w:t>
      </w:r>
      <w:r>
        <w:rPr>
          <w:rFonts w:hint="eastAsia" w:ascii="Times New Roman" w:hAnsi="Times New Roman" w:eastAsia="仿宋_GB2312" w:cs="Times New Roman"/>
          <w:color w:val="000000"/>
          <w:sz w:val="32"/>
          <w:szCs w:val="32"/>
          <w:lang w:val="en-US" w:eastAsia="zh-CN"/>
        </w:rPr>
        <w:t>重视服务对象满意度</w:t>
      </w:r>
      <w:r>
        <w:rPr>
          <w:rFonts w:ascii="Times New Roman" w:hAnsi="Times New Roman" w:eastAsia="仿宋_GB2312" w:cs="Times New Roman"/>
          <w:color w:val="000000"/>
          <w:sz w:val="32"/>
          <w:szCs w:val="32"/>
        </w:rPr>
        <w:t>。</w:t>
      </w:r>
    </w:p>
    <w:p>
      <w:pPr>
        <w:widowControl/>
        <w:numPr>
          <w:ilvl w:val="0"/>
          <w:numId w:val="0"/>
        </w:numPr>
        <w:tabs>
          <w:tab w:val="left" w:pos="0"/>
        </w:tabs>
        <w:adjustRightInd w:val="0"/>
        <w:snapToGrid w:val="0"/>
        <w:spacing w:line="580" w:lineRule="exact"/>
        <w:ind w:firstLine="640" w:firstLineChars="200"/>
        <w:jc w:val="left"/>
        <w:rPr>
          <w:rFonts w:hint="eastAsia" w:ascii="Times New Roman" w:hAnsi="Times New Roman" w:eastAsia="仿宋_GB2312" w:cs="Times New Roman"/>
          <w:b w:val="0"/>
          <w:bCs w:val="0"/>
          <w:color w:val="000000"/>
          <w:sz w:val="32"/>
          <w:szCs w:val="32"/>
          <w:lang w:val="en-US" w:eastAsia="zh-CN"/>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城区道路亮化提升项目</w:t>
      </w:r>
      <w:r>
        <w:rPr>
          <w:rFonts w:ascii="Times New Roman" w:hAnsi="Times New Roman" w:eastAsia="仿宋_GB2312" w:cs="Times New Roman"/>
          <w:color w:val="000000"/>
          <w:sz w:val="32"/>
          <w:szCs w:val="32"/>
        </w:rPr>
        <w:t>绩效自评综述：根据年初设定的绩效目标，</w:t>
      </w:r>
      <w:r>
        <w:rPr>
          <w:rFonts w:hint="eastAsia" w:ascii="Times New Roman" w:hAnsi="Times New Roman" w:eastAsia="仿宋_GB2312" w:cs="Times New Roman"/>
          <w:color w:val="000000"/>
          <w:sz w:val="32"/>
          <w:szCs w:val="32"/>
          <w:lang w:val="en-US" w:eastAsia="zh-CN"/>
        </w:rPr>
        <w:t>城区道路亮化提升项目</w:t>
      </w:r>
      <w:r>
        <w:rPr>
          <w:rFonts w:ascii="Times New Roman" w:hAnsi="Times New Roman" w:eastAsia="仿宋_GB2312" w:cs="Times New Roman"/>
          <w:color w:val="000000"/>
          <w:sz w:val="32"/>
          <w:szCs w:val="32"/>
        </w:rPr>
        <w:t>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kern w:val="2"/>
          <w:sz w:val="32"/>
          <w:szCs w:val="32"/>
          <w:lang w:val="en-US" w:eastAsia="zh-CN" w:bidi="ar-SA"/>
        </w:rPr>
        <w:t>通过对大安街的路灯进行全面改造提升，有效地提升了城区亮化水平，方便了群众夜间出行。</w:t>
      </w:r>
      <w:r>
        <w:rPr>
          <w:rFonts w:hint="eastAsia" w:ascii="Times New Roman" w:hAnsi="Times New Roman" w:eastAsia="仿宋_GB2312" w:cs="Times New Roman"/>
          <w:color w:val="000000"/>
          <w:sz w:val="32"/>
          <w:szCs w:val="32"/>
          <w:lang w:eastAsia="zh-CN"/>
        </w:rPr>
        <w:t>该项目指标值完成的好，未</w:t>
      </w:r>
      <w:r>
        <w:rPr>
          <w:rFonts w:ascii="Times New Roman" w:hAnsi="Times New Roman" w:eastAsia="仿宋_GB2312" w:cs="Times New Roman"/>
          <w:color w:val="000000"/>
          <w:sz w:val="32"/>
          <w:szCs w:val="32"/>
        </w:rPr>
        <w:t>发现问题。</w:t>
      </w:r>
    </w:p>
    <w:p>
      <w:pPr>
        <w:widowControl/>
        <w:numPr>
          <w:ilvl w:val="0"/>
          <w:numId w:val="0"/>
        </w:numPr>
        <w:tabs>
          <w:tab w:val="left" w:pos="0"/>
        </w:tabs>
        <w:adjustRightInd w:val="0"/>
        <w:snapToGrid w:val="0"/>
        <w:spacing w:line="580" w:lineRule="exact"/>
        <w:ind w:firstLine="643" w:firstLineChars="200"/>
        <w:jc w:val="left"/>
        <w:rPr>
          <w:rFonts w:hint="eastAsia" w:ascii="Times New Roman" w:hAnsi="Times New Roman" w:eastAsia="仿宋_GB2312" w:cs="Times New Roman"/>
          <w:b/>
          <w:bCs/>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2</w:t>
      </w:r>
      <w:r>
        <w:rPr>
          <w:rFonts w:ascii="Times New Roman" w:hAnsi="Times New Roman" w:eastAsia="仿宋_GB2312" w:cs="Times New Roman"/>
          <w:b/>
          <w:bCs/>
          <w:color w:val="000000"/>
          <w:sz w:val="32"/>
          <w:szCs w:val="32"/>
        </w:rPr>
        <w:t>.</w:t>
      </w:r>
      <w:r>
        <w:rPr>
          <w:rFonts w:hint="eastAsia" w:ascii="Times New Roman" w:hAnsi="Times New Roman" w:eastAsia="仿宋_GB2312" w:cs="Times New Roman"/>
          <w:b/>
          <w:bCs/>
          <w:color w:val="000000"/>
          <w:sz w:val="32"/>
          <w:szCs w:val="32"/>
          <w:lang w:val="en-US" w:eastAsia="zh-CN"/>
        </w:rPr>
        <w:t>财政评价项目绩效评价结果。</w:t>
      </w:r>
    </w:p>
    <w:p>
      <w:pPr>
        <w:widowControl/>
        <w:numPr>
          <w:ilvl w:val="0"/>
          <w:numId w:val="0"/>
        </w:numPr>
        <w:tabs>
          <w:tab w:val="left" w:pos="0"/>
        </w:tabs>
        <w:adjustRightInd w:val="0"/>
        <w:snapToGrid w:val="0"/>
        <w:spacing w:line="580" w:lineRule="exact"/>
        <w:ind w:firstLine="640" w:firstLineChars="200"/>
        <w:jc w:val="left"/>
        <w:rPr>
          <w:rFonts w:hint="default"/>
          <w:lang w:val="en-US" w:eastAsia="zh-CN"/>
        </w:rPr>
      </w:pPr>
      <w:r>
        <w:rPr>
          <w:rFonts w:hint="eastAsia" w:ascii="Times New Roman" w:hAnsi="Times New Roman" w:eastAsia="仿宋_GB2312" w:cs="Times New Roman"/>
          <w:b w:val="0"/>
          <w:bCs w:val="0"/>
          <w:color w:val="000000"/>
          <w:sz w:val="32"/>
          <w:szCs w:val="32"/>
          <w:lang w:val="en-US" w:eastAsia="zh-CN"/>
        </w:rPr>
        <w:t>无</w:t>
      </w:r>
      <w:r>
        <w:rPr>
          <w:rFonts w:ascii="Times New Roman" w:hAnsi="Times New Roman" w:eastAsia="仿宋_GB2312" w:cs="Times New Roman"/>
          <w:b w:val="0"/>
          <w:bCs w:val="0"/>
          <w:color w:val="000000"/>
          <w:sz w:val="32"/>
          <w:szCs w:val="32"/>
        </w:rPr>
        <w:t>财政评价项目绩效评价结果</w:t>
      </w:r>
      <w:r>
        <w:rPr>
          <w:rFonts w:hint="eastAsia" w:ascii="Times New Roman" w:hAnsi="Times New Roman" w:eastAsia="仿宋_GB2312" w:cs="Times New Roman"/>
          <w:b w:val="0"/>
          <w:bCs w:val="0"/>
          <w:color w:val="000000"/>
          <w:sz w:val="32"/>
          <w:szCs w:val="32"/>
          <w:lang w:eastAsia="zh-CN"/>
        </w:rPr>
        <w:t>。</w:t>
      </w:r>
    </w:p>
    <w:p>
      <w:pPr>
        <w:widowControl/>
        <w:numPr>
          <w:ilvl w:val="0"/>
          <w:numId w:val="0"/>
        </w:numPr>
        <w:tabs>
          <w:tab w:val="left" w:pos="0"/>
        </w:tabs>
        <w:adjustRightInd w:val="0"/>
        <w:snapToGrid w:val="0"/>
        <w:spacing w:line="580" w:lineRule="exact"/>
        <w:ind w:firstLine="643" w:firstLineChars="200"/>
        <w:jc w:val="left"/>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3</w:t>
      </w:r>
      <w:r>
        <w:rPr>
          <w:rFonts w:ascii="Times New Roman" w:hAnsi="Times New Roman" w:eastAsia="仿宋_GB2312" w:cs="Times New Roman"/>
          <w:b/>
          <w:bCs/>
          <w:color w:val="000000"/>
          <w:sz w:val="32"/>
          <w:szCs w:val="32"/>
        </w:rPr>
        <w:t>.部门整体绩效自评结果。</w:t>
      </w:r>
      <w:r>
        <w:rPr>
          <w:rFonts w:ascii="Times New Roman" w:hAnsi="Times New Roman" w:eastAsia="仿宋_GB2312" w:cs="Times New Roman"/>
          <w:sz w:val="32"/>
          <w:szCs w:val="32"/>
        </w:rPr>
        <w:t>本部门对2019年度部门整体绩效进行自评价，评价等级为优</w:t>
      </w:r>
      <w:r>
        <w:rPr>
          <w:rFonts w:ascii="Times New Roman" w:hAnsi="Times New Roman" w:eastAsia="仿宋_GB2312" w:cs="Times New Roman"/>
          <w:color w:val="000000"/>
          <w:sz w:val="32"/>
          <w:szCs w:val="32"/>
        </w:rPr>
        <w:t>（绩效自评</w:t>
      </w:r>
      <w:r>
        <w:rPr>
          <w:rFonts w:hint="eastAsia" w:ascii="Times New Roman" w:hAnsi="Times New Roman" w:eastAsia="仿宋_GB2312" w:cs="Times New Roman"/>
          <w:color w:val="000000"/>
          <w:sz w:val="32"/>
          <w:szCs w:val="32"/>
          <w:lang w:eastAsia="zh-CN"/>
        </w:rPr>
        <w:t>汇总</w:t>
      </w:r>
      <w:r>
        <w:rPr>
          <w:rFonts w:ascii="Times New Roman" w:hAnsi="Times New Roman" w:eastAsia="仿宋_GB2312" w:cs="Times New Roman"/>
          <w:color w:val="000000"/>
          <w:sz w:val="32"/>
          <w:szCs w:val="32"/>
        </w:rPr>
        <w:t>表附后）</w:t>
      </w:r>
      <w:r>
        <w:rPr>
          <w:rFonts w:ascii="Times New Roman" w:hAnsi="Times New Roman" w:eastAsia="仿宋_GB2312" w:cs="Times New Roman"/>
          <w:sz w:val="32"/>
          <w:szCs w:val="32"/>
        </w:rPr>
        <w:t>。从评价情况来看，我局较好完成了2019 年履行职能职责和各项重点工作任务，整体绩效情况较为理想，总体上达到了预算绩效管理的要求。</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二、绩效公开表格</w:t>
      </w:r>
    </w:p>
    <w:p>
      <w:pPr>
        <w:widowControl/>
        <w:jc w:val="left"/>
        <w:rPr>
          <w:rFonts w:ascii="Times New Roman" w:hAnsi="Times New Roman" w:cs="Times New Roman"/>
          <w:color w:val="000000" w:themeColor="text1"/>
          <w14:textFill>
            <w14:solidFill>
              <w14:schemeClr w14:val="tx1"/>
            </w14:solidFill>
          </w14:textFill>
        </w:rPr>
      </w:pPr>
    </w:p>
    <w:tbl>
      <w:tblPr>
        <w:tblStyle w:val="9"/>
        <w:tblW w:w="8861" w:type="dxa"/>
        <w:tblInd w:w="15"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651"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hint="eastAsia" w:asciiTheme="majorEastAsia" w:hAnsiTheme="majorEastAsia" w:eastAsiaTheme="majorEastAsia" w:cstheme="majorEastAsia"/>
                <w:b/>
                <w:bCs/>
                <w:kern w:val="0"/>
                <w:sz w:val="44"/>
                <w:szCs w:val="44"/>
              </w:rPr>
              <w:t>项目支出绩效自评表</w:t>
            </w:r>
          </w:p>
        </w:tc>
      </w:tr>
      <w:tr>
        <w:tblPrEx>
          <w:tblCellMar>
            <w:top w:w="0" w:type="dxa"/>
            <w:left w:w="0" w:type="dxa"/>
            <w:bottom w:w="0" w:type="dxa"/>
            <w:right w:w="0" w:type="dxa"/>
          </w:tblCellMar>
        </w:tblPrEx>
        <w:trPr>
          <w:trHeight w:val="309" w:hRule="atLeast"/>
        </w:trPr>
        <w:tc>
          <w:tcPr>
            <w:tcW w:w="8861" w:type="dxa"/>
            <w:gridSpan w:val="15"/>
            <w:tcBorders>
              <w:top w:val="nil"/>
              <w:left w:val="nil"/>
              <w:bottom w:val="nil"/>
              <w:right w:val="nil"/>
              <w:tl2br w:val="nil"/>
              <w:tr2bl w:val="nil"/>
            </w:tcBorders>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2019</w:t>
            </w:r>
            <w:r>
              <w:rPr>
                <w:rFonts w:eastAsia="仿宋_GB2312"/>
                <w:kern w:val="0"/>
                <w:sz w:val="24"/>
              </w:rPr>
              <w:t>年度）</w:t>
            </w:r>
          </w:p>
        </w:tc>
      </w:tr>
      <w:tr>
        <w:tblPrEx>
          <w:tblCellMar>
            <w:top w:w="0" w:type="dxa"/>
            <w:left w:w="0" w:type="dxa"/>
            <w:bottom w:w="0" w:type="dxa"/>
            <w:right w:w="0" w:type="dxa"/>
          </w:tblCellMar>
        </w:tblPrEx>
        <w:trPr>
          <w:trHeight w:val="413"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szCs w:val="24"/>
              </w:rPr>
            </w:pPr>
            <w:r>
              <w:rPr>
                <w:rFonts w:hint="eastAsia" w:eastAsia="仿宋_GB2312"/>
                <w:kern w:val="0"/>
                <w:sz w:val="24"/>
                <w:szCs w:val="24"/>
              </w:rPr>
              <w:t>大厂回族自治县农村生活垃圾清扫、保洁、清运一体化处理PPP项目中期 评估费</w:t>
            </w:r>
          </w:p>
        </w:tc>
      </w:tr>
      <w:tr>
        <w:tblPrEx>
          <w:tblCellMar>
            <w:top w:w="0" w:type="dxa"/>
            <w:left w:w="0" w:type="dxa"/>
            <w:bottom w:w="0" w:type="dxa"/>
            <w:right w:w="0" w:type="dxa"/>
          </w:tblCellMar>
        </w:tblPrEx>
        <w:trPr>
          <w:trHeight w:val="473"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szCs w:val="24"/>
                <w:lang w:eastAsia="zh-CN"/>
              </w:rPr>
            </w:pPr>
            <w:r>
              <w:rPr>
                <w:rFonts w:hint="eastAsia" w:eastAsia="仿宋_GB2312"/>
                <w:kern w:val="0"/>
                <w:sz w:val="24"/>
                <w:szCs w:val="24"/>
                <w:lang w:val="en-US" w:eastAsia="zh-CN"/>
              </w:rPr>
              <w:t>大厂回族自治县财政局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县综合行政执法局</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项目资金</w:t>
            </w:r>
            <w:r>
              <w:rPr>
                <w:rFonts w:eastAsia="仿宋_GB2312"/>
                <w:kern w:val="0"/>
                <w:sz w:val="24"/>
                <w:szCs w:val="24"/>
              </w:rPr>
              <w:br w:type="textWrapping"/>
            </w:r>
            <w:r>
              <w:rPr>
                <w:rFonts w:eastAsia="仿宋_GB2312"/>
                <w:kern w:val="0"/>
                <w:sz w:val="24"/>
                <w:szCs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年初</w:t>
            </w:r>
          </w:p>
          <w:p>
            <w:pPr>
              <w:widowControl/>
              <w:spacing w:line="240" w:lineRule="exact"/>
              <w:jc w:val="center"/>
              <w:rPr>
                <w:rFonts w:eastAsia="仿宋_GB2312"/>
                <w:kern w:val="0"/>
                <w:sz w:val="24"/>
                <w:szCs w:val="24"/>
              </w:rPr>
            </w:pPr>
            <w:r>
              <w:rPr>
                <w:rFonts w:eastAsia="仿宋_GB2312"/>
                <w:kern w:val="0"/>
                <w:sz w:val="24"/>
                <w:szCs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全年</w:t>
            </w:r>
          </w:p>
          <w:p>
            <w:pPr>
              <w:widowControl/>
              <w:spacing w:line="240" w:lineRule="exact"/>
              <w:jc w:val="center"/>
              <w:rPr>
                <w:rFonts w:eastAsia="仿宋_GB2312"/>
                <w:kern w:val="0"/>
                <w:sz w:val="24"/>
                <w:szCs w:val="24"/>
              </w:rPr>
            </w:pPr>
            <w:r>
              <w:rPr>
                <w:rFonts w:eastAsia="仿宋_GB2312"/>
                <w:kern w:val="0"/>
                <w:sz w:val="24"/>
                <w:szCs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全年</w:t>
            </w:r>
          </w:p>
          <w:p>
            <w:pPr>
              <w:widowControl/>
              <w:spacing w:line="240" w:lineRule="exact"/>
              <w:jc w:val="center"/>
              <w:rPr>
                <w:rFonts w:eastAsia="仿宋_GB2312"/>
                <w:kern w:val="0"/>
                <w:sz w:val="24"/>
                <w:szCs w:val="24"/>
              </w:rPr>
            </w:pPr>
            <w:r>
              <w:rPr>
                <w:rFonts w:eastAsia="仿宋_GB2312"/>
                <w:kern w:val="0"/>
                <w:sz w:val="24"/>
                <w:szCs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得分</w:t>
            </w:r>
          </w:p>
        </w:tc>
      </w:tr>
      <w:tr>
        <w:tblPrEx>
          <w:tblCellMar>
            <w:top w:w="0" w:type="dxa"/>
            <w:left w:w="0" w:type="dxa"/>
            <w:bottom w:w="0" w:type="dxa"/>
            <w:right w:w="0" w:type="dxa"/>
          </w:tblCellMar>
        </w:tblPrEx>
        <w:trPr>
          <w:trHeight w:val="34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4"/>
                <w:szCs w:val="24"/>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szCs w:val="24"/>
              </w:rPr>
            </w:pPr>
            <w:r>
              <w:rPr>
                <w:rFonts w:eastAsia="仿宋_GB2312"/>
                <w:kern w:val="0"/>
                <w:sz w:val="24"/>
                <w:szCs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r>
      <w:tr>
        <w:tblPrEx>
          <w:tblCellMar>
            <w:top w:w="0" w:type="dxa"/>
            <w:left w:w="0" w:type="dxa"/>
            <w:bottom w:w="0" w:type="dxa"/>
            <w:right w:w="0" w:type="dxa"/>
          </w:tblCellMar>
        </w:tblPrEx>
        <w:trPr>
          <w:trHeight w:val="273"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4"/>
                <w:szCs w:val="24"/>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szCs w:val="24"/>
              </w:rPr>
            </w:pPr>
            <w:r>
              <w:rPr>
                <w:rFonts w:eastAsia="仿宋_GB2312"/>
                <w:kern w:val="0"/>
                <w:sz w:val="24"/>
                <w:szCs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w:t>
            </w:r>
          </w:p>
        </w:tc>
      </w:tr>
      <w:tr>
        <w:tblPrEx>
          <w:tblCellMar>
            <w:top w:w="0" w:type="dxa"/>
            <w:left w:w="0" w:type="dxa"/>
            <w:bottom w:w="0" w:type="dxa"/>
            <w:right w:w="0" w:type="dxa"/>
          </w:tblCellMar>
        </w:tblPrEx>
        <w:trPr>
          <w:trHeight w:val="256"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4"/>
                <w:szCs w:val="24"/>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szCs w:val="24"/>
              </w:rPr>
            </w:pPr>
            <w:r>
              <w:rPr>
                <w:rFonts w:eastAsia="仿宋_GB2312"/>
                <w:kern w:val="0"/>
                <w:sz w:val="24"/>
                <w:szCs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w:t>
            </w:r>
          </w:p>
        </w:tc>
      </w:tr>
      <w:tr>
        <w:tblPrEx>
          <w:tblCellMar>
            <w:top w:w="0" w:type="dxa"/>
            <w:left w:w="0" w:type="dxa"/>
            <w:bottom w:w="0" w:type="dxa"/>
            <w:right w:w="0" w:type="dxa"/>
          </w:tblCellMar>
        </w:tblPrEx>
        <w:trPr>
          <w:trHeight w:val="307"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4"/>
                <w:szCs w:val="24"/>
              </w:rPr>
            </w:p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w:t>
            </w:r>
          </w:p>
        </w:tc>
      </w:tr>
      <w:tr>
        <w:tblPrEx>
          <w:tblCellMar>
            <w:top w:w="0" w:type="dxa"/>
            <w:left w:w="0" w:type="dxa"/>
            <w:bottom w:w="0" w:type="dxa"/>
            <w:right w:w="0" w:type="dxa"/>
          </w:tblCellMar>
        </w:tblPrEx>
        <w:trPr>
          <w:trHeight w:val="39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实际完成情况</w:t>
            </w:r>
          </w:p>
        </w:tc>
      </w:tr>
      <w:tr>
        <w:tblPrEx>
          <w:tblCellMar>
            <w:top w:w="0" w:type="dxa"/>
            <w:left w:w="0" w:type="dxa"/>
            <w:bottom w:w="0" w:type="dxa"/>
            <w:right w:w="0" w:type="dxa"/>
          </w:tblCellMar>
        </w:tblPrEx>
        <w:trPr>
          <w:trHeight w:val="135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通过构建和完善农村生活垃圾收集清运处置和清扫保洁体系，有利于进一步改善农村卫生环境，保障人民群众身体健康，创造清洁优美的生产生活环境，提高广大农村居民的生活质量和生活水平，着力提升全县环境综合整治水平。</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通过PPP模式引入专业的有管理经验的环卫公司进行农村生活垃圾清扫、保洁、清运，使农村村街环境整洁有序，防止村街产生垃圾累积污染环境。</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绩</w:t>
            </w:r>
            <w:r>
              <w:rPr>
                <w:rFonts w:eastAsia="仿宋_GB2312"/>
                <w:kern w:val="0"/>
                <w:sz w:val="24"/>
                <w:szCs w:val="24"/>
              </w:rPr>
              <w:br w:type="textWrapping"/>
            </w:r>
            <w:r>
              <w:rPr>
                <w:rFonts w:eastAsia="仿宋_GB2312"/>
                <w:kern w:val="0"/>
                <w:sz w:val="24"/>
                <w:szCs w:val="24"/>
              </w:rPr>
              <w:t>效</w:t>
            </w:r>
            <w:r>
              <w:rPr>
                <w:rFonts w:eastAsia="仿宋_GB2312"/>
                <w:kern w:val="0"/>
                <w:sz w:val="24"/>
                <w:szCs w:val="24"/>
              </w:rPr>
              <w:br w:type="textWrapping"/>
            </w:r>
            <w:r>
              <w:rPr>
                <w:rFonts w:eastAsia="仿宋_GB2312"/>
                <w:kern w:val="0"/>
                <w:sz w:val="24"/>
                <w:szCs w:val="24"/>
              </w:rPr>
              <w:t>指</w:t>
            </w:r>
            <w:r>
              <w:rPr>
                <w:rFonts w:eastAsia="仿宋_GB2312"/>
                <w:kern w:val="0"/>
                <w:sz w:val="24"/>
                <w:szCs w:val="24"/>
              </w:rPr>
              <w:br w:type="textWrapping"/>
            </w:r>
            <w:r>
              <w:rPr>
                <w:rFonts w:eastAsia="仿宋_GB2312"/>
                <w:kern w:val="0"/>
                <w:sz w:val="24"/>
                <w:szCs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年度</w:t>
            </w:r>
          </w:p>
          <w:p>
            <w:pPr>
              <w:widowControl/>
              <w:spacing w:line="240" w:lineRule="exact"/>
              <w:jc w:val="center"/>
              <w:rPr>
                <w:rFonts w:eastAsia="仿宋_GB2312"/>
                <w:kern w:val="0"/>
                <w:sz w:val="24"/>
                <w:szCs w:val="24"/>
              </w:rPr>
            </w:pPr>
            <w:r>
              <w:rPr>
                <w:rFonts w:eastAsia="仿宋_GB2312"/>
                <w:kern w:val="0"/>
                <w:sz w:val="24"/>
                <w:szCs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实际</w:t>
            </w:r>
          </w:p>
          <w:p>
            <w:pPr>
              <w:widowControl/>
              <w:spacing w:line="240" w:lineRule="exact"/>
              <w:jc w:val="center"/>
              <w:rPr>
                <w:rFonts w:eastAsia="仿宋_GB2312"/>
                <w:kern w:val="0"/>
                <w:sz w:val="24"/>
                <w:szCs w:val="24"/>
              </w:rPr>
            </w:pPr>
            <w:r>
              <w:rPr>
                <w:rFonts w:eastAsia="仿宋_GB2312"/>
                <w:kern w:val="0"/>
                <w:sz w:val="24"/>
                <w:szCs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szCs w:val="24"/>
              </w:rPr>
            </w:pPr>
            <w:r>
              <w:rPr>
                <w:rFonts w:eastAsia="仿宋_GB2312"/>
                <w:kern w:val="0"/>
                <w:sz w:val="24"/>
                <w:szCs w:val="24"/>
              </w:rPr>
              <w:t>产出指标</w:t>
            </w:r>
          </w:p>
          <w:p>
            <w:pPr>
              <w:widowControl/>
              <w:spacing w:line="240" w:lineRule="exact"/>
              <w:jc w:val="center"/>
              <w:rPr>
                <w:rFonts w:eastAsia="仿宋_GB2312"/>
                <w:kern w:val="0"/>
                <w:sz w:val="24"/>
                <w:szCs w:val="24"/>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hint="eastAsia" w:eastAsia="仿宋_GB2312"/>
                <w:color w:val="000000"/>
                <w:kern w:val="0"/>
                <w:sz w:val="24"/>
                <w:szCs w:val="24"/>
              </w:rPr>
              <w:t>村庄</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96</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96</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hint="eastAsia" w:eastAsia="仿宋_GB2312"/>
                <w:color w:val="000000"/>
                <w:kern w:val="0"/>
                <w:sz w:val="24"/>
                <w:szCs w:val="24"/>
              </w:rPr>
              <w:t>垃圾清运率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szCs w:val="24"/>
                <w:lang w:val="en-US" w:eastAsia="zh-CN"/>
              </w:rPr>
            </w:pPr>
            <w:r>
              <w:rPr>
                <w:rFonts w:hint="eastAsia" w:eastAsia="仿宋_GB2312"/>
                <w:kern w:val="0"/>
                <w:sz w:val="24"/>
                <w:szCs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szCs w:val="24"/>
                <w:lang w:val="en-US" w:eastAsia="zh-CN"/>
              </w:rPr>
            </w:pPr>
            <w:r>
              <w:rPr>
                <w:rFonts w:hint="eastAsia" w:eastAsia="仿宋_GB2312"/>
                <w:kern w:val="0"/>
                <w:sz w:val="24"/>
                <w:szCs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hint="eastAsia" w:eastAsia="仿宋_GB2312"/>
                <w:color w:val="000000"/>
                <w:kern w:val="0"/>
                <w:sz w:val="24"/>
                <w:szCs w:val="24"/>
              </w:rPr>
              <w:t>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12</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12</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hint="eastAsia" w:eastAsia="仿宋_GB2312"/>
                <w:color w:val="000000"/>
                <w:kern w:val="0"/>
                <w:sz w:val="24"/>
                <w:szCs w:val="24"/>
              </w:rPr>
              <w:t>费用</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效益指标</w:t>
            </w:r>
          </w:p>
          <w:p>
            <w:pPr>
              <w:widowControl/>
              <w:spacing w:line="240" w:lineRule="exact"/>
              <w:jc w:val="center"/>
              <w:rPr>
                <w:rFonts w:eastAsia="仿宋_GB2312"/>
                <w:kern w:val="0"/>
                <w:sz w:val="24"/>
                <w:szCs w:val="24"/>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经济效益</w:t>
            </w:r>
          </w:p>
          <w:p>
            <w:pPr>
              <w:widowControl/>
              <w:spacing w:line="240" w:lineRule="exact"/>
              <w:jc w:val="center"/>
              <w:rPr>
                <w:rFonts w:eastAsia="仿宋_GB2312"/>
                <w:kern w:val="0"/>
                <w:sz w:val="24"/>
                <w:szCs w:val="24"/>
              </w:rPr>
            </w:pPr>
            <w:r>
              <w:rPr>
                <w:rFonts w:eastAsia="仿宋_GB2312"/>
                <w:kern w:val="0"/>
                <w:sz w:val="24"/>
                <w:szCs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社会效益</w:t>
            </w:r>
          </w:p>
          <w:p>
            <w:pPr>
              <w:widowControl/>
              <w:spacing w:line="240" w:lineRule="exact"/>
              <w:jc w:val="center"/>
              <w:rPr>
                <w:rFonts w:eastAsia="仿宋_GB2312"/>
                <w:kern w:val="0"/>
                <w:sz w:val="24"/>
                <w:szCs w:val="24"/>
              </w:rPr>
            </w:pPr>
            <w:r>
              <w:rPr>
                <w:rFonts w:eastAsia="仿宋_GB2312"/>
                <w:kern w:val="0"/>
                <w:sz w:val="24"/>
                <w:szCs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hint="eastAsia" w:eastAsia="仿宋_GB2312"/>
                <w:color w:val="000000"/>
                <w:kern w:val="0"/>
                <w:sz w:val="24"/>
                <w:szCs w:val="24"/>
              </w:rPr>
              <w:t>清运率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szCs w:val="24"/>
                <w:lang w:val="en-US" w:eastAsia="zh-CN"/>
              </w:rPr>
            </w:pPr>
            <w:r>
              <w:rPr>
                <w:rFonts w:hint="eastAsia" w:eastAsia="仿宋_GB2312"/>
                <w:kern w:val="0"/>
                <w:sz w:val="24"/>
                <w:szCs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lang w:val="en-US" w:eastAsia="zh-CN"/>
              </w:rPr>
              <w:t>3</w:t>
            </w:r>
            <w:r>
              <w:rPr>
                <w:rFonts w:hint="eastAsia" w:eastAsia="仿宋_GB2312"/>
                <w:kern w:val="0"/>
                <w:sz w:val="24"/>
                <w:szCs w:val="24"/>
              </w:rPr>
              <w:t>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生态效益</w:t>
            </w:r>
          </w:p>
          <w:p>
            <w:pPr>
              <w:widowControl/>
              <w:spacing w:line="240" w:lineRule="exact"/>
              <w:jc w:val="center"/>
              <w:rPr>
                <w:rFonts w:eastAsia="仿宋_GB2312"/>
                <w:kern w:val="0"/>
                <w:sz w:val="24"/>
                <w:szCs w:val="24"/>
              </w:rPr>
            </w:pPr>
            <w:r>
              <w:rPr>
                <w:rFonts w:eastAsia="仿宋_GB2312"/>
                <w:kern w:val="0"/>
                <w:sz w:val="24"/>
                <w:szCs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指标1：</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可持续影响</w:t>
            </w:r>
          </w:p>
          <w:p>
            <w:pPr>
              <w:widowControl/>
              <w:spacing w:line="240" w:lineRule="exact"/>
              <w:jc w:val="center"/>
              <w:rPr>
                <w:rFonts w:eastAsia="仿宋_GB2312"/>
                <w:kern w:val="0"/>
                <w:sz w:val="24"/>
                <w:szCs w:val="24"/>
              </w:rPr>
            </w:pPr>
            <w:r>
              <w:rPr>
                <w:rFonts w:eastAsia="仿宋_GB2312"/>
                <w:kern w:val="0"/>
                <w:sz w:val="24"/>
                <w:szCs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指标1：</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40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满意度</w:t>
            </w:r>
          </w:p>
          <w:p>
            <w:pPr>
              <w:widowControl/>
              <w:spacing w:line="240" w:lineRule="exact"/>
              <w:jc w:val="center"/>
              <w:rPr>
                <w:rFonts w:eastAsia="仿宋_GB2312"/>
                <w:kern w:val="0"/>
                <w:sz w:val="24"/>
                <w:szCs w:val="24"/>
              </w:rPr>
            </w:pPr>
            <w:r>
              <w:rPr>
                <w:rFonts w:eastAsia="仿宋_GB2312"/>
                <w:kern w:val="0"/>
                <w:sz w:val="24"/>
                <w:szCs w:val="24"/>
              </w:rPr>
              <w:t>指标</w:t>
            </w:r>
          </w:p>
        </w:tc>
        <w:tc>
          <w:tcPr>
            <w:tcW w:w="146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eastAsia="仿宋_GB2312"/>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hint="eastAsia" w:eastAsia="仿宋_GB2312"/>
                <w:color w:val="000000"/>
                <w:kern w:val="0"/>
                <w:sz w:val="24"/>
                <w:szCs w:val="24"/>
              </w:rPr>
              <w:t>群众满意度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88</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88</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lang w:val="en-US" w:eastAsia="zh-CN"/>
              </w:rPr>
              <w:t>进一步提高</w:t>
            </w:r>
            <w:r>
              <w:rPr>
                <w:rFonts w:eastAsia="仿宋_GB2312"/>
                <w:kern w:val="0"/>
                <w:sz w:val="24"/>
                <w:szCs w:val="24"/>
              </w:rPr>
              <w:t>服务对象满意度</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nil"/>
              <w:right w:val="single" w:color="auto" w:sz="4" w:space="0"/>
              <w:tl2br w:val="nil"/>
              <w:tr2bl w:val="nil"/>
            </w:tcBorders>
            <w:vAlign w:val="center"/>
          </w:tcPr>
          <w:p>
            <w:pPr>
              <w:rPr>
                <w:sz w:val="24"/>
                <w:szCs w:val="24"/>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指标2：</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465" w:type="dxa"/>
            <w:vMerge w:val="continue"/>
            <w:tcBorders>
              <w:top w:val="nil"/>
              <w:left w:val="single" w:color="auto" w:sz="4" w:space="0"/>
              <w:bottom w:val="single" w:color="auto" w:sz="4" w:space="0"/>
              <w:right w:val="single" w:color="auto" w:sz="4" w:space="0"/>
              <w:tl2br w:val="nil"/>
              <w:tr2bl w:val="nil"/>
            </w:tcBorders>
            <w:vAlign w:val="center"/>
          </w:tcPr>
          <w:p>
            <w:pPr>
              <w:rPr>
                <w:sz w:val="24"/>
                <w:szCs w:val="24"/>
              </w:rPr>
            </w:pP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szCs w:val="24"/>
              </w:rPr>
            </w:pPr>
            <w:r>
              <w:rPr>
                <w:rFonts w:eastAsia="仿宋_GB2312"/>
                <w:color w:val="000000"/>
                <w:kern w:val="0"/>
                <w:sz w:val="24"/>
                <w:szCs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r>
        <w:tblPrEx>
          <w:tblCellMar>
            <w:top w:w="0" w:type="dxa"/>
            <w:left w:w="0" w:type="dxa"/>
            <w:bottom w:w="0" w:type="dxa"/>
            <w:right w:w="0" w:type="dxa"/>
          </w:tblCellMar>
        </w:tblPrEx>
        <w:trPr>
          <w:trHeight w:val="393"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szCs w:val="24"/>
              </w:rPr>
            </w:pPr>
            <w:r>
              <w:rPr>
                <w:rFonts w:eastAsia="仿宋_GB2312"/>
                <w:color w:val="000000"/>
                <w:kern w:val="0"/>
                <w:sz w:val="24"/>
                <w:szCs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szCs w:val="24"/>
              </w:rPr>
            </w:pPr>
            <w:r>
              <w:rPr>
                <w:rFonts w:eastAsia="仿宋_GB2312"/>
                <w:color w:val="000000"/>
                <w:kern w:val="0"/>
                <w:sz w:val="24"/>
                <w:szCs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szCs w:val="24"/>
                <w:lang w:val="en-US" w:eastAsia="zh-CN"/>
              </w:rPr>
            </w:pPr>
            <w:r>
              <w:rPr>
                <w:rFonts w:hint="eastAsia" w:eastAsia="仿宋_GB2312"/>
                <w:color w:val="000000"/>
                <w:kern w:val="0"/>
                <w:sz w:val="24"/>
                <w:szCs w:val="24"/>
                <w:lang w:val="en-US" w:eastAsia="zh-CN"/>
              </w:rPr>
              <w:t>98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p>
        </w:tc>
      </w:tr>
    </w:tbl>
    <w:p>
      <w:pPr>
        <w:widowControl/>
        <w:jc w:val="left"/>
        <w:rPr>
          <w:rFonts w:ascii="Times New Roman" w:hAnsi="Times New Roman" w:cs="Times New Roman"/>
          <w:color w:val="000000" w:themeColor="text1"/>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p>
    <w:tbl>
      <w:tblPr>
        <w:tblStyle w:val="9"/>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861" w:type="dxa"/>
            <w:gridSpan w:val="15"/>
            <w:tcBorders>
              <w:top w:val="nil"/>
              <w:left w:val="nil"/>
              <w:bottom w:val="nil"/>
              <w:right w:val="nil"/>
              <w:tl2br w:val="nil"/>
              <w:tr2bl w:val="nil"/>
            </w:tcBorders>
            <w:vAlign w:val="center"/>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城区道路亮化提升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szCs w:val="24"/>
                <w:lang w:val="en-US" w:eastAsia="zh-CN"/>
              </w:rPr>
              <w:t>大厂回族自治县财政局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大厂回族自治县城市管理综合行政执法局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100万元</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100万元</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100万元</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对县城内路灯进行亮化提升，使县城内无黑暗死角方便群众夜间出行。</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通过对大安街的路灯进行全面改造提升，</w:t>
            </w:r>
            <w:r>
              <w:rPr>
                <w:rFonts w:hint="eastAsia" w:eastAsia="仿宋_GB2312"/>
                <w:kern w:val="0"/>
                <w:sz w:val="24"/>
                <w:lang w:val="en-US" w:eastAsia="zh-CN"/>
              </w:rPr>
              <w:t>有效地</w:t>
            </w:r>
            <w:r>
              <w:rPr>
                <w:rFonts w:hint="eastAsia" w:eastAsia="仿宋_GB2312"/>
                <w:kern w:val="0"/>
                <w:sz w:val="24"/>
              </w:rPr>
              <w:t>提升</w:t>
            </w:r>
            <w:r>
              <w:rPr>
                <w:rFonts w:hint="eastAsia" w:eastAsia="仿宋_GB2312"/>
                <w:kern w:val="0"/>
                <w:sz w:val="24"/>
                <w:lang w:val="en-US" w:eastAsia="zh-CN"/>
              </w:rPr>
              <w:t>了</w:t>
            </w:r>
            <w:r>
              <w:rPr>
                <w:rFonts w:hint="eastAsia" w:eastAsia="仿宋_GB2312"/>
                <w:kern w:val="0"/>
                <w:sz w:val="24"/>
              </w:rPr>
              <w:t>城区亮化水平，方便</w:t>
            </w:r>
            <w:r>
              <w:rPr>
                <w:rFonts w:hint="eastAsia" w:eastAsia="仿宋_GB2312"/>
                <w:kern w:val="0"/>
                <w:sz w:val="24"/>
                <w:lang w:val="en-US" w:eastAsia="zh-CN"/>
              </w:rPr>
              <w:t>了</w:t>
            </w:r>
            <w:r>
              <w:rPr>
                <w:rFonts w:hint="eastAsia" w:eastAsia="仿宋_GB2312"/>
                <w:kern w:val="0"/>
                <w:sz w:val="24"/>
              </w:rPr>
              <w:t>群众夜间出行。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2019年亮化的主要街路数量</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1条</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1条</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质量指标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工程量完成率</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val="en-US" w:eastAsia="zh-CN"/>
              </w:rPr>
              <w:t>2019年预算资金拨付时间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2019年底</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2019年预算成本</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县城区大安街路段光照率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主管领导对其效果满意度</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trPr>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ascii="Times New Roman" w:hAnsi="Times New Roman" w:cs="Times New Roman"/>
          <w:color w:val="000000" w:themeColor="text1"/>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sectPr>
          <w:headerReference r:id="rId29" w:type="default"/>
          <w:pgSz w:w="11906" w:h="16838"/>
          <w:pgMar w:top="1701" w:right="1417" w:bottom="1281" w:left="1417" w:header="851" w:footer="992" w:gutter="0"/>
          <w:pgNumType w:fmt="decimal"/>
          <w:cols w:space="0" w:num="1"/>
          <w:docGrid w:type="lines" w:linePitch="312" w:charSpace="0"/>
        </w:sectPr>
      </w:pPr>
    </w:p>
    <w:tbl>
      <w:tblPr>
        <w:tblStyle w:val="9"/>
        <w:tblW w:w="13902" w:type="dxa"/>
        <w:tblInd w:w="0" w:type="dxa"/>
        <w:tblLayout w:type="fixed"/>
        <w:tblCellMar>
          <w:top w:w="0" w:type="dxa"/>
          <w:left w:w="0" w:type="dxa"/>
          <w:bottom w:w="0" w:type="dxa"/>
          <w:right w:w="0" w:type="dxa"/>
        </w:tblCellMar>
      </w:tblPr>
      <w:tblGrid>
        <w:gridCol w:w="1004"/>
        <w:gridCol w:w="1048"/>
        <w:gridCol w:w="666"/>
        <w:gridCol w:w="1522"/>
        <w:gridCol w:w="1395"/>
        <w:gridCol w:w="2055"/>
        <w:gridCol w:w="1082"/>
        <w:gridCol w:w="1884"/>
        <w:gridCol w:w="1714"/>
        <w:gridCol w:w="1532"/>
      </w:tblGrid>
      <w:tr>
        <w:tblPrEx>
          <w:tblCellMar>
            <w:top w:w="0" w:type="dxa"/>
            <w:left w:w="0" w:type="dxa"/>
            <w:bottom w:w="0" w:type="dxa"/>
            <w:right w:w="0" w:type="dxa"/>
          </w:tblCellMar>
        </w:tblPrEx>
        <w:trPr>
          <w:trHeight w:val="873" w:hRule="atLeast"/>
        </w:trPr>
        <w:tc>
          <w:tcPr>
            <w:tcW w:w="13902" w:type="dxa"/>
            <w:gridSpan w:val="10"/>
            <w:tcBorders>
              <w:top w:val="nil"/>
              <w:left w:val="nil"/>
              <w:bottom w:val="nil"/>
              <w:right w:val="nil"/>
            </w:tcBorders>
            <w:shd w:val="clear" w:color="auto" w:fill="auto"/>
            <w:noWrap/>
            <w:tcMar>
              <w:top w:w="10" w:type="dxa"/>
              <w:left w:w="10" w:type="dxa"/>
              <w:right w:w="10" w:type="dxa"/>
            </w:tcMar>
            <w:vAlign w:val="center"/>
          </w:tcPr>
          <w:p>
            <w:pPr>
              <w:spacing w:line="584" w:lineRule="exact"/>
              <w:jc w:val="center"/>
              <w:rPr>
                <w:rStyle w:val="16"/>
                <w:rFonts w:ascii="Times New Roman" w:hAnsi="Times New Roman" w:eastAsia="方正小标宋简体" w:cs="Times New Roman"/>
                <w:sz w:val="44"/>
                <w:szCs w:val="44"/>
              </w:rPr>
            </w:pPr>
            <w:r>
              <w:rPr>
                <w:rStyle w:val="16"/>
                <w:rFonts w:ascii="Times New Roman" w:hAnsi="Times New Roman" w:eastAsia="方正小标宋简体" w:cs="Times New Roman"/>
                <w:sz w:val="44"/>
                <w:szCs w:val="44"/>
              </w:rPr>
              <w:t>单位整体绩效自评表</w:t>
            </w:r>
          </w:p>
          <w:p>
            <w:pPr>
              <w:spacing w:line="584" w:lineRule="exact"/>
              <w:jc w:val="center"/>
              <w:rPr>
                <w:rFonts w:ascii="Times New Roman" w:hAnsi="Times New Roman" w:eastAsia="等线" w:cs="Times New Roman"/>
                <w:color w:val="000000"/>
                <w:sz w:val="28"/>
                <w:szCs w:val="28"/>
              </w:rPr>
            </w:pP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lang w:val="en-US" w:eastAsia="zh-CN"/>
              </w:rPr>
              <w:t>2019</w:t>
            </w:r>
            <w:r>
              <w:rPr>
                <w:rFonts w:ascii="Times New Roman" w:hAnsi="Times New Roman" w:eastAsia="仿宋_GB2312" w:cs="Times New Roman"/>
                <w:color w:val="000000"/>
                <w:sz w:val="28"/>
                <w:szCs w:val="28"/>
              </w:rPr>
              <w:t>年度）</w:t>
            </w:r>
          </w:p>
        </w:tc>
      </w:tr>
      <w:tr>
        <w:tblPrEx>
          <w:tblCellMar>
            <w:top w:w="0" w:type="dxa"/>
            <w:left w:w="0" w:type="dxa"/>
            <w:bottom w:w="0" w:type="dxa"/>
            <w:right w:w="0" w:type="dxa"/>
          </w:tblCellMar>
        </w:tblPrEx>
        <w:trPr>
          <w:trHeight w:val="355" w:hRule="atLeast"/>
        </w:trPr>
        <w:tc>
          <w:tcPr>
            <w:tcW w:w="424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2"/>
                <w:rFonts w:ascii="Times New Roman" w:hAnsi="Times New Roman" w:cs="Times New Roman"/>
              </w:rPr>
              <w:t>部门（单位）名称</w:t>
            </w:r>
          </w:p>
        </w:tc>
        <w:tc>
          <w:tcPr>
            <w:tcW w:w="9662"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Fonts w:hint="eastAsia" w:ascii="宋体" w:hAnsi="宋体" w:eastAsia="宋体" w:cs="宋体"/>
                <w:i w:val="0"/>
                <w:color w:val="000000"/>
                <w:kern w:val="0"/>
                <w:sz w:val="28"/>
                <w:szCs w:val="28"/>
                <w:u w:val="none"/>
                <w:lang w:val="en-US" w:eastAsia="zh-CN" w:bidi="ar"/>
              </w:rPr>
              <w:t>大厂回族自治县</w:t>
            </w:r>
            <w:r>
              <w:rPr>
                <w:rFonts w:hint="eastAsia" w:ascii="宋体" w:hAnsi="宋体" w:eastAsia="宋体" w:cs="宋体"/>
                <w:bCs/>
                <w:color w:val="000000"/>
                <w:kern w:val="0"/>
                <w:sz w:val="28"/>
                <w:szCs w:val="28"/>
                <w:lang w:val="en-US" w:eastAsia="zh-CN"/>
              </w:rPr>
              <w:t>城市管理综合行政执法局</w:t>
            </w:r>
          </w:p>
        </w:tc>
      </w:tr>
      <w:tr>
        <w:tblPrEx>
          <w:tblCellMar>
            <w:top w:w="0" w:type="dxa"/>
            <w:left w:w="0" w:type="dxa"/>
            <w:bottom w:w="0" w:type="dxa"/>
            <w:right w:w="0" w:type="dxa"/>
          </w:tblCellMar>
        </w:tblPrEx>
        <w:trPr>
          <w:trHeight w:val="690"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color w:val="000000"/>
                <w:kern w:val="0"/>
                <w:sz w:val="18"/>
                <w:szCs w:val="18"/>
              </w:rPr>
              <w:t>年度主要任务</w:t>
            </w:r>
          </w:p>
        </w:tc>
        <w:tc>
          <w:tcPr>
            <w:tcW w:w="10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重点工作任务名称</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重点工作任务完成情况</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2"/>
                <w:rFonts w:ascii="Times New Roman" w:hAnsi="Times New Roman" w:cs="Times New Roman"/>
              </w:rPr>
              <w:t>拟对应安排的重点项目</w:t>
            </w:r>
            <w:r>
              <w:rPr>
                <w:rStyle w:val="21"/>
                <w:rFonts w:eastAsia="宋体"/>
              </w:rPr>
              <w:t xml:space="preserve">  </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项目完成情况</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预算数</w:t>
            </w:r>
            <w:r>
              <w:rPr>
                <w:rStyle w:val="22"/>
                <w:rFonts w:ascii="Times New Roman" w:hAnsi="Times New Roman" w:cs="Times New Roman"/>
              </w:rPr>
              <w:br w:type="textWrapping"/>
            </w:r>
            <w:r>
              <w:rPr>
                <w:rStyle w:val="22"/>
                <w:rFonts w:ascii="Times New Roman" w:hAnsi="Times New Roman" w:cs="Times New Roman"/>
              </w:rPr>
              <w:t>（万元）</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其中：财政拨款</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执行数</w:t>
            </w:r>
            <w:r>
              <w:rPr>
                <w:rStyle w:val="22"/>
                <w:rFonts w:ascii="Times New Roman" w:hAnsi="Times New Roman" w:cs="Times New Roman"/>
              </w:rPr>
              <w:br w:type="textWrapping"/>
            </w:r>
            <w:r>
              <w:rPr>
                <w:rStyle w:val="22"/>
                <w:rFonts w:ascii="Times New Roman" w:hAnsi="Times New Roman" w:cs="Times New Roman"/>
              </w:rPr>
              <w:t>（万元）</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其中：财政拨款</w:t>
            </w:r>
          </w:p>
        </w:tc>
      </w:tr>
      <w:tr>
        <w:tblPrEx>
          <w:tblCellMar>
            <w:top w:w="0" w:type="dxa"/>
            <w:left w:w="0" w:type="dxa"/>
            <w:bottom w:w="0" w:type="dxa"/>
            <w:right w:w="0" w:type="dxa"/>
          </w:tblCellMar>
        </w:tblPrEx>
        <w:trPr>
          <w:trHeight w:val="94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textAlignment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市容环境卫生和市政公共设施管理执法</w:t>
            </w:r>
          </w:p>
          <w:p>
            <w:pPr>
              <w:jc w:val="center"/>
              <w:textAlignment w:val="center"/>
              <w:rPr>
                <w:rFonts w:ascii="Times New Roman" w:hAnsi="Times New Roman" w:eastAsia="等线" w:cs="Times New Roman"/>
                <w:color w:val="000000"/>
                <w:sz w:val="18"/>
                <w:szCs w:val="18"/>
              </w:rPr>
            </w:pPr>
          </w:p>
        </w:tc>
        <w:tc>
          <w:tcPr>
            <w:tcW w:w="2188" w:type="dxa"/>
            <w:gridSpan w:val="2"/>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textAlignment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基本完成城市环境精细化整理工作，全面完成年度创城指标工作任务</w:t>
            </w:r>
          </w:p>
          <w:p>
            <w:pPr>
              <w:jc w:val="center"/>
              <w:textAlignment w:val="center"/>
              <w:rPr>
                <w:rFonts w:ascii="Times New Roman" w:hAnsi="Times New Roman" w:eastAsia="等线" w:cs="Times New Roman"/>
                <w:color w:val="000000"/>
                <w:sz w:val="18"/>
                <w:szCs w:val="18"/>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textAlignment w:val="center"/>
              <w:rPr>
                <w:rStyle w:val="22"/>
                <w:rFonts w:ascii="Times New Roman" w:hAnsi="Times New Roman" w:cs="Times New Roman"/>
              </w:rPr>
            </w:pPr>
            <w:r>
              <w:rPr>
                <w:rStyle w:val="22"/>
                <w:rFonts w:hint="eastAsia" w:ascii="Times New Roman" w:hAnsi="Times New Roman" w:cs="Times New Roman"/>
                <w:lang w:val="en-US" w:eastAsia="zh-CN"/>
              </w:rPr>
              <w:t>保持创卫标准资金</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textAlignment w:val="center"/>
              <w:rPr>
                <w:rStyle w:val="22"/>
                <w:rFonts w:ascii="Times New Roman" w:hAnsi="Times New Roman" w:cs="Times New Roman"/>
              </w:rPr>
            </w:pPr>
            <w:r>
              <w:rPr>
                <w:rStyle w:val="22"/>
                <w:rFonts w:hint="eastAsia" w:ascii="Times New Roman" w:hAnsi="Times New Roman" w:cs="Times New Roman"/>
                <w:lang w:val="en-US" w:eastAsia="zh-CN"/>
              </w:rPr>
              <w:t>2019年全年我县创建卫生县城城区环境卫生达到验收标准。</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375</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375</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375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375</w:t>
            </w:r>
          </w:p>
        </w:tc>
      </w:tr>
      <w:tr>
        <w:tblPrEx>
          <w:tblCellMar>
            <w:top w:w="0" w:type="dxa"/>
            <w:left w:w="0" w:type="dxa"/>
            <w:bottom w:w="0" w:type="dxa"/>
            <w:right w:w="0" w:type="dxa"/>
          </w:tblCellMar>
        </w:tblPrEx>
        <w:trPr>
          <w:trHeight w:val="78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188" w:type="dxa"/>
            <w:gridSpan w:val="2"/>
            <w:vMerge w:val="continue"/>
            <w:tcBorders>
              <w:left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eastAsia="等线" w:cs="Times New Roman"/>
                <w:color w:val="000000"/>
                <w:sz w:val="18"/>
                <w:szCs w:val="18"/>
              </w:rPr>
            </w:pPr>
            <w:r>
              <w:rPr>
                <w:rStyle w:val="22"/>
                <w:rFonts w:hint="eastAsia" w:ascii="Times New Roman" w:hAnsi="Times New Roman" w:cs="Times New Roman"/>
                <w:lang w:val="en-US" w:eastAsia="zh-CN"/>
              </w:rPr>
              <w:t>市政设施维护及工具购置</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eastAsia="等线" w:cs="Times New Roman"/>
                <w:color w:val="000000"/>
                <w:sz w:val="18"/>
                <w:szCs w:val="18"/>
              </w:rPr>
            </w:pPr>
            <w:r>
              <w:rPr>
                <w:rStyle w:val="22"/>
                <w:rFonts w:hint="eastAsia" w:ascii="Times New Roman" w:hAnsi="Times New Roman" w:cs="Times New Roman"/>
                <w:lang w:val="en-US" w:eastAsia="zh-CN"/>
              </w:rPr>
              <w:t>市政设施安全有序的运行，未出险安全事故。</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82</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82</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82</w:t>
            </w:r>
          </w:p>
        </w:tc>
      </w:tr>
      <w:tr>
        <w:tblPrEx>
          <w:tblCellMar>
            <w:top w:w="0" w:type="dxa"/>
            <w:left w:w="0" w:type="dxa"/>
            <w:bottom w:w="0" w:type="dxa"/>
            <w:right w:w="0" w:type="dxa"/>
          </w:tblCellMar>
        </w:tblPrEx>
        <w:trPr>
          <w:trHeight w:val="118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p>
        </w:tc>
        <w:tc>
          <w:tcPr>
            <w:tcW w:w="2188" w:type="dxa"/>
            <w:gridSpan w:val="2"/>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eastAsia="等线" w:cs="Times New Roman"/>
                <w:color w:val="000000"/>
                <w:sz w:val="18"/>
                <w:szCs w:val="18"/>
              </w:rPr>
            </w:pPr>
            <w:r>
              <w:rPr>
                <w:rStyle w:val="22"/>
                <w:rFonts w:hint="eastAsia" w:ascii="Times New Roman" w:hAnsi="Times New Roman" w:cs="Times New Roman"/>
                <w:lang w:val="en-US" w:eastAsia="zh-CN"/>
              </w:rPr>
              <w:t>无物业小区垃圾清扫清运清掏保洁</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eastAsia="等线" w:cs="Times New Roman"/>
                <w:color w:val="000000"/>
                <w:sz w:val="18"/>
                <w:szCs w:val="18"/>
              </w:rPr>
            </w:pPr>
            <w:r>
              <w:rPr>
                <w:rStyle w:val="22"/>
                <w:rFonts w:hint="eastAsia" w:ascii="Times New Roman" w:hAnsi="Times New Roman" w:cs="Times New Roman"/>
                <w:lang w:val="en-US" w:eastAsia="zh-CN"/>
              </w:rPr>
              <w:t>县城区无物业小区垃圾清扫清运清掏及时，解决了无物业小区的脏乱差问题。</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42</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42</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42</w:t>
            </w:r>
          </w:p>
        </w:tc>
      </w:tr>
      <w:tr>
        <w:tblPrEx>
          <w:tblCellMar>
            <w:top w:w="0" w:type="dxa"/>
            <w:left w:w="0" w:type="dxa"/>
            <w:bottom w:w="0" w:type="dxa"/>
            <w:right w:w="0" w:type="dxa"/>
          </w:tblCellMar>
        </w:tblPrEx>
        <w:trPr>
          <w:trHeight w:val="1039"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04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188" w:type="dxa"/>
            <w:gridSpan w:val="2"/>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eastAsia="等线" w:cs="Times New Roman"/>
                <w:color w:val="000000"/>
                <w:sz w:val="18"/>
                <w:szCs w:val="18"/>
              </w:rPr>
            </w:pPr>
            <w:r>
              <w:rPr>
                <w:rStyle w:val="22"/>
                <w:rFonts w:hint="eastAsia" w:ascii="Times New Roman" w:hAnsi="Times New Roman" w:cs="Times New Roman"/>
                <w:lang w:val="en-US" w:eastAsia="zh-CN"/>
              </w:rPr>
              <w:t>城区背街小巷道路改造提升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rPr>
                <w:rStyle w:val="22"/>
                <w:rFonts w:hint="eastAsia" w:ascii="Times New Roman" w:hAnsi="Times New Roman" w:cs="Times New Roman"/>
                <w:lang w:val="en-US" w:eastAsia="zh-CN"/>
              </w:rPr>
            </w:pPr>
            <w:r>
              <w:rPr>
                <w:rStyle w:val="22"/>
                <w:rFonts w:hint="eastAsia" w:ascii="Times New Roman" w:hAnsi="Times New Roman" w:cs="Times New Roman"/>
                <w:lang w:val="en-US" w:eastAsia="zh-CN"/>
              </w:rPr>
              <w:t>通过对县城背街小巷道路进行改造提升，从而进一步改善了县城小街巷路况，方便群众出行。</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Style w:val="22"/>
                <w:rFonts w:hint="default" w:ascii="Times New Roman" w:hAnsi="Times New Roman" w:cs="Times New Roman"/>
                <w:lang w:val="en-US" w:eastAsia="zh-CN"/>
              </w:rPr>
            </w:pPr>
            <w:r>
              <w:rPr>
                <w:rFonts w:hint="eastAsia" w:ascii="Times New Roman" w:hAnsi="Times New Roman" w:eastAsia="等线" w:cs="Times New Roman"/>
                <w:color w:val="000000"/>
                <w:sz w:val="18"/>
                <w:szCs w:val="18"/>
                <w:lang w:val="en-US" w:eastAsia="zh-CN"/>
              </w:rPr>
              <w:t>60</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60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60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60</w:t>
            </w:r>
          </w:p>
        </w:tc>
      </w:tr>
      <w:tr>
        <w:tblPrEx>
          <w:tblCellMar>
            <w:top w:w="0" w:type="dxa"/>
            <w:left w:w="0" w:type="dxa"/>
            <w:bottom w:w="0" w:type="dxa"/>
            <w:right w:w="0" w:type="dxa"/>
          </w:tblCellMar>
        </w:tblPrEx>
        <w:trPr>
          <w:trHeight w:val="534" w:hRule="atLeast"/>
        </w:trPr>
        <w:tc>
          <w:tcPr>
            <w:tcW w:w="10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Fonts w:ascii="Times New Roman" w:hAnsi="Times New Roman" w:eastAsia="宋体" w:cs="Times New Roman"/>
                <w:color w:val="000000"/>
                <w:kern w:val="0"/>
                <w:sz w:val="18"/>
                <w:szCs w:val="18"/>
              </w:rPr>
              <w:t>一级指标</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二级指标</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三级指标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目标值</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自评实际值</w:t>
            </w:r>
          </w:p>
        </w:tc>
        <w:tc>
          <w:tcPr>
            <w:tcW w:w="1714" w:type="dxa"/>
            <w:tcBorders>
              <w:top w:val="single" w:color="000000" w:sz="4" w:space="0"/>
              <w:left w:val="nil"/>
              <w:bottom w:val="nil"/>
              <w:right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权重</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宋体" w:cs="Times New Roman"/>
                <w:color w:val="000000"/>
                <w:kern w:val="0"/>
                <w:sz w:val="18"/>
                <w:szCs w:val="18"/>
              </w:rPr>
              <w:t>自评得分</w:t>
            </w:r>
          </w:p>
        </w:tc>
      </w:tr>
      <w:tr>
        <w:tblPrEx>
          <w:tblCellMar>
            <w:top w:w="0" w:type="dxa"/>
            <w:left w:w="0" w:type="dxa"/>
            <w:bottom w:w="0" w:type="dxa"/>
            <w:right w:w="0" w:type="dxa"/>
          </w:tblCellMar>
        </w:tblPrEx>
        <w:trPr>
          <w:trHeight w:val="406"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部门管理（40分）</w:t>
            </w: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2"/>
                <w:rFonts w:ascii="Times New Roman" w:hAnsi="Times New Roman" w:cs="Times New Roman"/>
              </w:rPr>
              <w:t>资金</w:t>
            </w:r>
            <w:r>
              <w:rPr>
                <w:rStyle w:val="22"/>
                <w:rFonts w:ascii="Times New Roman" w:hAnsi="Times New Roman" w:cs="Times New Roman"/>
              </w:rPr>
              <w:br w:type="textWrapping"/>
            </w:r>
            <w:r>
              <w:rPr>
                <w:rStyle w:val="22"/>
                <w:rFonts w:ascii="Times New Roman" w:hAnsi="Times New Roman" w:cs="Times New Roman"/>
              </w:rPr>
              <w:t>投入</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预算完成率 </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≥95%</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97%</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预算调整率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9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支出进度率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95%</w:t>
            </w:r>
          </w:p>
        </w:tc>
        <w:tc>
          <w:tcPr>
            <w:tcW w:w="1714" w:type="dxa"/>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w:t>
            </w:r>
          </w:p>
        </w:tc>
      </w:tr>
      <w:tr>
        <w:tblPrEx>
          <w:tblCellMar>
            <w:top w:w="0" w:type="dxa"/>
            <w:left w:w="0" w:type="dxa"/>
            <w:bottom w:w="0" w:type="dxa"/>
            <w:right w:w="0" w:type="dxa"/>
          </w:tblCellMar>
        </w:tblPrEx>
        <w:trPr>
          <w:trHeight w:val="2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“三公经费”变动率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≤0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3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结转结余变动率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≤0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w:t>
            </w:r>
          </w:p>
        </w:tc>
      </w:tr>
      <w:tr>
        <w:tblPrEx>
          <w:tblCellMar>
            <w:top w:w="0" w:type="dxa"/>
            <w:left w:w="0" w:type="dxa"/>
            <w:bottom w:w="0" w:type="dxa"/>
            <w:right w:w="0" w:type="dxa"/>
          </w:tblCellMar>
        </w:tblPrEx>
        <w:trPr>
          <w:trHeight w:val="40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财务管理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问题资金占比</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w:t>
            </w:r>
          </w:p>
        </w:tc>
      </w:tr>
      <w:tr>
        <w:tblPrEx>
          <w:tblCellMar>
            <w:top w:w="0" w:type="dxa"/>
            <w:left w:w="0" w:type="dxa"/>
            <w:bottom w:w="0" w:type="dxa"/>
            <w:right w:w="0" w:type="dxa"/>
          </w:tblCellMar>
        </w:tblPrEx>
        <w:trPr>
          <w:trHeight w:val="46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采购管理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政府采购执行率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≥95%</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98%</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3</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2.5</w:t>
            </w:r>
          </w:p>
        </w:tc>
      </w:tr>
      <w:tr>
        <w:tblPrEx>
          <w:tblCellMar>
            <w:top w:w="0" w:type="dxa"/>
            <w:left w:w="0" w:type="dxa"/>
            <w:bottom w:w="0" w:type="dxa"/>
            <w:right w:w="0" w:type="dxa"/>
          </w:tblCellMar>
        </w:tblPrEx>
        <w:trPr>
          <w:trHeight w:val="433"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资产管理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资产管理规范性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规范　</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规范</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4</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3</w:t>
            </w:r>
          </w:p>
        </w:tc>
      </w:tr>
      <w:tr>
        <w:tblPrEx>
          <w:tblCellMar>
            <w:top w:w="0" w:type="dxa"/>
            <w:left w:w="0" w:type="dxa"/>
            <w:bottom w:w="0" w:type="dxa"/>
            <w:right w:w="0" w:type="dxa"/>
          </w:tblCellMar>
        </w:tblPrEx>
        <w:trPr>
          <w:trHeight w:val="476"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人员管理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在职人员控制率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0.9</w:t>
            </w:r>
          </w:p>
        </w:tc>
      </w:tr>
      <w:tr>
        <w:tblPrEx>
          <w:tblCellMar>
            <w:top w:w="0" w:type="dxa"/>
            <w:left w:w="0" w:type="dxa"/>
            <w:bottom w:w="0" w:type="dxa"/>
            <w:right w:w="0" w:type="dxa"/>
          </w:tblCellMar>
        </w:tblPrEx>
        <w:trPr>
          <w:trHeight w:val="46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2"/>
                <w:rFonts w:ascii="Times New Roman" w:hAnsi="Times New Roman" w:cs="Times New Roman"/>
              </w:rPr>
              <w:t>信息管理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预决算信息公开性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按规定公开</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按规定公开</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43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绩效信息公开性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按规定公开</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按规定公开</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392"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2"/>
                <w:rFonts w:ascii="Times New Roman" w:hAnsi="Times New Roman" w:cs="Times New Roman"/>
              </w:rPr>
              <w:t>绩效管理</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绩效目标审核通过率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Style w:val="20"/>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绩效自评覆盖率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r>
              <w:rPr>
                <w:rStyle w:val="20"/>
                <w:rFonts w:ascii="Times New Roman" w:hAnsi="Times New Roman" w:cs="Times New Roman"/>
              </w:rPr>
              <w:t>100%</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w:t>
            </w:r>
          </w:p>
        </w:tc>
      </w:tr>
      <w:tr>
        <w:tblPrEx>
          <w:tblCellMar>
            <w:top w:w="0" w:type="dxa"/>
            <w:left w:w="0" w:type="dxa"/>
            <w:bottom w:w="0" w:type="dxa"/>
            <w:right w:w="0" w:type="dxa"/>
          </w:tblCellMar>
        </w:tblPrEx>
        <w:trPr>
          <w:trHeight w:val="407"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部门产出（</w:t>
            </w:r>
            <w:r>
              <w:rPr>
                <w:rStyle w:val="21"/>
                <w:rFonts w:eastAsia="等线"/>
              </w:rPr>
              <w:t>40</w:t>
            </w:r>
            <w:r>
              <w:rPr>
                <w:rStyle w:val="20"/>
                <w:rFonts w:ascii="Times New Roman" w:hAnsi="Times New Roman" w:cs="Times New Roman"/>
              </w:rPr>
              <w:t>分）</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2"/>
                <w:rFonts w:ascii="Times New Roman" w:hAnsi="Times New Roman" w:cs="Times New Roman"/>
              </w:rPr>
              <w:t>数</w:t>
            </w:r>
            <w:r>
              <w:rPr>
                <w:rStyle w:val="21"/>
                <w:rFonts w:eastAsia="宋体"/>
              </w:rPr>
              <w:t xml:space="preserve"> </w:t>
            </w:r>
            <w:r>
              <w:rPr>
                <w:rStyle w:val="22"/>
                <w:rFonts w:ascii="Times New Roman" w:hAnsi="Times New Roman" w:cs="Times New Roman"/>
              </w:rPr>
              <w:t>量</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重点工作实际完成率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r>
              <w:rPr>
                <w:rStyle w:val="20"/>
                <w:rFonts w:hint="eastAsia" w:ascii="Times New Roman" w:hAnsi="Times New Roman" w:eastAsia="仿宋_GB2312" w:cs="Times New Roman"/>
                <w:lang w:val="en-US" w:eastAsia="zh-CN"/>
              </w:rPr>
              <w:t>98</w:t>
            </w:r>
            <w:r>
              <w:rPr>
                <w:rStyle w:val="20"/>
                <w:rFonts w:ascii="Times New Roman" w:hAnsi="Times New Roman" w:cs="Times New Roman"/>
              </w:rPr>
              <w:t>%</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14</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2"/>
                <w:rFonts w:ascii="Times New Roman" w:hAnsi="Times New Roman" w:cs="Times New Roman"/>
              </w:rPr>
              <w:t>质</w:t>
            </w:r>
            <w:r>
              <w:rPr>
                <w:rStyle w:val="21"/>
                <w:rFonts w:eastAsia="宋体"/>
              </w:rPr>
              <w:t xml:space="preserve"> </w:t>
            </w:r>
            <w:r>
              <w:rPr>
                <w:rStyle w:val="22"/>
                <w:rFonts w:ascii="Times New Roman" w:hAnsi="Times New Roman" w:cs="Times New Roman"/>
              </w:rPr>
              <w:t>量</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重点工作质量达标率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r>
              <w:rPr>
                <w:rStyle w:val="20"/>
                <w:rFonts w:hint="eastAsia" w:ascii="Times New Roman" w:hAnsi="Times New Roman" w:eastAsia="仿宋_GB2312" w:cs="Times New Roman"/>
                <w:lang w:val="en-US" w:eastAsia="zh-CN"/>
              </w:rPr>
              <w:t>90</w:t>
            </w:r>
            <w:r>
              <w:rPr>
                <w:rStyle w:val="20"/>
                <w:rFonts w:ascii="Times New Roman" w:hAnsi="Times New Roman" w:cs="Times New Roman"/>
              </w:rPr>
              <w:t>%</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w:t>
            </w:r>
          </w:p>
        </w:tc>
      </w:tr>
      <w:tr>
        <w:tblPrEx>
          <w:tblCellMar>
            <w:top w:w="0" w:type="dxa"/>
            <w:left w:w="0" w:type="dxa"/>
            <w:bottom w:w="0" w:type="dxa"/>
            <w:right w:w="0" w:type="dxa"/>
          </w:tblCellMar>
        </w:tblPrEx>
        <w:trPr>
          <w:trHeight w:val="450"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2"/>
                <w:rFonts w:ascii="Times New Roman" w:hAnsi="Times New Roman" w:cs="Times New Roman"/>
              </w:rPr>
              <w:t>时</w:t>
            </w:r>
            <w:r>
              <w:rPr>
                <w:rStyle w:val="21"/>
                <w:rFonts w:eastAsia="宋体"/>
              </w:rPr>
              <w:t xml:space="preserve"> </w:t>
            </w:r>
            <w:r>
              <w:rPr>
                <w:rStyle w:val="22"/>
                <w:rFonts w:ascii="Times New Roman" w:hAnsi="Times New Roman" w:cs="Times New Roman"/>
              </w:rPr>
              <w:t>效</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重点工作完成及时率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仿宋_GB2312" w:cs="Times New Roman"/>
                <w:color w:val="000000"/>
                <w:sz w:val="18"/>
                <w:szCs w:val="18"/>
              </w:rPr>
            </w:pPr>
            <w:r>
              <w:rPr>
                <w:rStyle w:val="20"/>
                <w:rFonts w:hint="eastAsia" w:ascii="Times New Roman" w:hAnsi="Times New Roman" w:eastAsia="仿宋_GB2312" w:cs="Times New Roman"/>
                <w:lang w:val="en-US" w:eastAsia="zh-CN"/>
              </w:rPr>
              <w:t>90</w:t>
            </w:r>
            <w:r>
              <w:rPr>
                <w:rStyle w:val="20"/>
                <w:rFonts w:ascii="Times New Roman" w:hAnsi="Times New Roman" w:cs="Times New Roman"/>
              </w:rPr>
              <w:t>%</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8</w:t>
            </w:r>
          </w:p>
        </w:tc>
      </w:tr>
      <w:tr>
        <w:tblPrEx>
          <w:tblCellMar>
            <w:top w:w="0" w:type="dxa"/>
            <w:left w:w="0" w:type="dxa"/>
            <w:bottom w:w="0" w:type="dxa"/>
            <w:right w:w="0" w:type="dxa"/>
          </w:tblCellMar>
        </w:tblPrEx>
        <w:trPr>
          <w:trHeight w:val="378"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Style w:val="22"/>
                <w:rFonts w:ascii="Times New Roman" w:hAnsi="Times New Roman" w:cs="Times New Roman"/>
              </w:rPr>
              <w:t>成</w:t>
            </w:r>
            <w:r>
              <w:rPr>
                <w:rStyle w:val="21"/>
                <w:rFonts w:eastAsia="宋体"/>
              </w:rPr>
              <w:t xml:space="preserve"> </w:t>
            </w:r>
            <w:r>
              <w:rPr>
                <w:rStyle w:val="22"/>
                <w:rFonts w:ascii="Times New Roman" w:hAnsi="Times New Roman" w:cs="Times New Roman"/>
              </w:rPr>
              <w:t>本</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一般性支出压减率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Fonts w:hint="eastAsia" w:ascii="Times New Roman" w:hAnsi="Times New Roman" w:eastAsia="等线" w:cs="Times New Roman"/>
                <w:color w:val="000000"/>
                <w:sz w:val="18"/>
                <w:szCs w:val="18"/>
                <w:lang w:val="en-US" w:eastAsia="zh-CN"/>
              </w:rPr>
              <w:t>≥</w:t>
            </w:r>
            <w:r>
              <w:rPr>
                <w:rStyle w:val="20"/>
                <w:rFonts w:ascii="Times New Roman" w:hAnsi="Times New Roman" w:cs="Times New Roman"/>
              </w:rPr>
              <w:t>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仿宋_GB2312"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完成</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5</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5</w:t>
            </w:r>
          </w:p>
        </w:tc>
      </w:tr>
      <w:tr>
        <w:tblPrEx>
          <w:tblCellMar>
            <w:top w:w="0" w:type="dxa"/>
            <w:left w:w="0" w:type="dxa"/>
            <w:bottom w:w="0" w:type="dxa"/>
            <w:right w:w="0" w:type="dxa"/>
          </w:tblCellMar>
        </w:tblPrEx>
        <w:trPr>
          <w:trHeight w:val="376" w:hRule="atLeast"/>
        </w:trPr>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部门效果（</w:t>
            </w:r>
            <w:r>
              <w:rPr>
                <w:rStyle w:val="21"/>
                <w:rFonts w:eastAsia="等线"/>
              </w:rPr>
              <w:t>20</w:t>
            </w:r>
            <w:r>
              <w:rPr>
                <w:rStyle w:val="20"/>
                <w:rFonts w:ascii="Times New Roman" w:hAnsi="Times New Roman" w:cs="Times New Roman"/>
              </w:rPr>
              <w:t>分）</w:t>
            </w: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经济效益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违法建设减少</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hint="eastAsia" w:ascii="Times New Roman" w:hAnsi="Times New Roman" w:cs="Times New Roman"/>
                <w:lang w:val="en-US" w:eastAsia="zh-CN"/>
              </w:rPr>
            </w:pPr>
            <w:r>
              <w:rPr>
                <w:rFonts w:hint="eastAsia" w:ascii="Times New Roman" w:hAnsi="Times New Roman" w:eastAsia="等线" w:cs="Times New Roman"/>
                <w:color w:val="000000"/>
                <w:sz w:val="18"/>
                <w:szCs w:val="18"/>
                <w:lang w:val="en-US" w:eastAsia="zh-CN"/>
              </w:rPr>
              <w:t>减少</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2</w:t>
            </w:r>
          </w:p>
        </w:tc>
        <w:tc>
          <w:tcPr>
            <w:tcW w:w="1714" w:type="dxa"/>
            <w:vMerge w:val="restart"/>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w:t>
            </w:r>
          </w:p>
        </w:tc>
        <w:tc>
          <w:tcPr>
            <w:tcW w:w="1532"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w:t>
            </w:r>
          </w:p>
        </w:tc>
      </w:tr>
      <w:tr>
        <w:tblPrEx>
          <w:tblCellMar>
            <w:top w:w="0" w:type="dxa"/>
            <w:left w:w="0" w:type="dxa"/>
            <w:bottom w:w="0" w:type="dxa"/>
            <w:right w:w="0" w:type="dxa"/>
          </w:tblCellMar>
        </w:tblPrEx>
        <w:trPr>
          <w:trHeight w:val="304"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社会效益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市容市貌提升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hint="eastAsia" w:ascii="Times New Roman" w:hAnsi="Times New Roman" w:cs="Times New Roman"/>
                <w:lang w:val="en-US" w:eastAsia="zh-CN"/>
              </w:rPr>
            </w:pPr>
            <w:r>
              <w:rPr>
                <w:rFonts w:hint="eastAsia" w:ascii="Times New Roman" w:hAnsi="Times New Roman" w:eastAsia="等线" w:cs="Times New Roman"/>
                <w:color w:val="000000"/>
                <w:sz w:val="18"/>
                <w:szCs w:val="18"/>
                <w:lang w:val="en-US" w:eastAsia="zh-CN"/>
              </w:rPr>
              <w:t>提升</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3.5</w:t>
            </w: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532"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319"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2"/>
                <w:rFonts w:ascii="Times New Roman" w:hAnsi="Times New Roman" w:cs="Times New Roman"/>
              </w:rPr>
            </w:pPr>
            <w:r>
              <w:rPr>
                <w:rStyle w:val="22"/>
                <w:rFonts w:ascii="Times New Roman" w:hAnsi="Times New Roman" w:cs="Times New Roman"/>
              </w:rPr>
              <w:t>生态效益</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城市环境卫生提升</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Fonts w:hint="eastAsia" w:ascii="Times New Roman" w:hAnsi="Times New Roman" w:eastAsia="等线" w:cs="Times New Roman"/>
                <w:color w:val="000000"/>
                <w:sz w:val="18"/>
                <w:szCs w:val="18"/>
                <w:lang w:val="en-US" w:eastAsia="zh-CN"/>
              </w:rPr>
              <w:t>提升</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仿宋_GB2312" w:cs="Times New Roman"/>
                <w:color w:val="000000"/>
                <w:sz w:val="18"/>
                <w:szCs w:val="18"/>
                <w:lang w:val="en-US" w:eastAsia="zh-CN"/>
              </w:rPr>
            </w:pPr>
            <w:r>
              <w:rPr>
                <w:rFonts w:hint="eastAsia" w:ascii="Times New Roman" w:hAnsi="Times New Roman" w:eastAsia="仿宋_GB2312" w:cs="Times New Roman"/>
                <w:color w:val="000000"/>
                <w:sz w:val="18"/>
                <w:szCs w:val="18"/>
                <w:lang w:val="en-US" w:eastAsia="zh-CN"/>
              </w:rPr>
              <w:t>3.5</w:t>
            </w:r>
          </w:p>
        </w:tc>
        <w:tc>
          <w:tcPr>
            <w:tcW w:w="1714" w:type="dxa"/>
            <w:vMerge w:val="continue"/>
            <w:tcBorders>
              <w:top w:val="single" w:color="000000" w:sz="4" w:space="0"/>
              <w:left w:val="nil"/>
              <w:bottom w:val="single" w:color="000000" w:sz="4" w:space="0"/>
              <w:right w:val="nil"/>
            </w:tcBorders>
            <w:shd w:val="clear" w:color="auto" w:fill="auto"/>
            <w:tcMar>
              <w:top w:w="10" w:type="dxa"/>
              <w:left w:w="10" w:type="dxa"/>
              <w:right w:w="10" w:type="dxa"/>
            </w:tcMar>
            <w:vAlign w:val="center"/>
          </w:tcPr>
          <w:p>
            <w:pPr>
              <w:rPr>
                <w:rFonts w:ascii="Times New Roman" w:hAnsi="Times New Roman" w:cs="Times New Roman"/>
              </w:rPr>
            </w:pPr>
          </w:p>
        </w:tc>
        <w:tc>
          <w:tcPr>
            <w:tcW w:w="1532"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等线" w:cs="Times New Roman"/>
                <w:color w:val="000000"/>
                <w:sz w:val="18"/>
                <w:szCs w:val="18"/>
              </w:rPr>
            </w:pPr>
          </w:p>
        </w:tc>
      </w:tr>
      <w:tr>
        <w:tblPrEx>
          <w:tblCellMar>
            <w:top w:w="0" w:type="dxa"/>
            <w:left w:w="0" w:type="dxa"/>
            <w:bottom w:w="0" w:type="dxa"/>
            <w:right w:w="0" w:type="dxa"/>
          </w:tblCellMar>
        </w:tblPrEx>
        <w:trPr>
          <w:trHeight w:val="435" w:hRule="atLeast"/>
        </w:trPr>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Times New Roman" w:hAnsi="Times New Roman" w:cs="Times New Roman"/>
              </w:rPr>
            </w:pPr>
          </w:p>
        </w:tc>
        <w:tc>
          <w:tcPr>
            <w:tcW w:w="171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Fonts w:ascii="Times New Roman" w:hAnsi="Times New Roman" w:eastAsia="等线" w:cs="Times New Roman"/>
                <w:color w:val="000000"/>
                <w:kern w:val="0"/>
                <w:sz w:val="18"/>
                <w:szCs w:val="18"/>
              </w:rPr>
              <w:t>满意度</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群众对执法工作满意度</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≥90%</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Times New Roman" w:hAnsi="Times New Roman" w:eastAsia="仿宋_GB2312" w:cs="Times New Roman"/>
                <w:color w:val="000000"/>
                <w:sz w:val="18"/>
                <w:szCs w:val="18"/>
              </w:rPr>
            </w:pPr>
            <w:r>
              <w:rPr>
                <w:rStyle w:val="20"/>
                <w:rFonts w:ascii="Times New Roman" w:hAnsi="Times New Roman" w:cs="Times New Roman"/>
              </w:rPr>
              <w:t>9</w:t>
            </w:r>
            <w:r>
              <w:rPr>
                <w:rStyle w:val="20"/>
                <w:rFonts w:hint="eastAsia" w:ascii="Times New Roman" w:hAnsi="Times New Roman" w:eastAsia="仿宋_GB2312" w:cs="Times New Roman"/>
                <w:lang w:val="en-US" w:eastAsia="zh-CN"/>
              </w:rPr>
              <w:t>2</w:t>
            </w:r>
            <w:r>
              <w:rPr>
                <w:rStyle w:val="20"/>
                <w:rFonts w:ascii="Times New Roman" w:hAnsi="Times New Roman" w:cs="Times New Roman"/>
              </w:rPr>
              <w:t>%</w:t>
            </w:r>
          </w:p>
        </w:tc>
        <w:tc>
          <w:tcPr>
            <w:tcW w:w="17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9.6</w:t>
            </w:r>
          </w:p>
        </w:tc>
      </w:tr>
      <w:tr>
        <w:tblPrEx>
          <w:tblCellMar>
            <w:top w:w="0" w:type="dxa"/>
            <w:left w:w="0" w:type="dxa"/>
            <w:bottom w:w="0" w:type="dxa"/>
            <w:right w:w="0" w:type="dxa"/>
          </w:tblCellMar>
        </w:tblPrEx>
        <w:trPr>
          <w:trHeight w:val="374"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sz w:val="18"/>
                <w:szCs w:val="18"/>
              </w:rPr>
            </w:pPr>
            <w:r>
              <w:rPr>
                <w:rStyle w:val="20"/>
                <w:rFonts w:ascii="Times New Roman" w:hAnsi="Times New Roman" w:cs="Times New Roman"/>
              </w:rPr>
              <w:t>合　计</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w:t>
            </w:r>
          </w:p>
        </w:tc>
        <w:tc>
          <w:tcPr>
            <w:tcW w:w="2966"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rPr>
              <w:t>——</w:t>
            </w:r>
          </w:p>
        </w:tc>
        <w:tc>
          <w:tcPr>
            <w:tcW w:w="1714" w:type="dxa"/>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Style w:val="20"/>
                <w:rFonts w:ascii="Times New Roman" w:hAnsi="Times New Roman" w:cs="Times New Roman"/>
              </w:rPr>
            </w:pPr>
            <w:r>
              <w:rPr>
                <w:rStyle w:val="20"/>
                <w:rFonts w:ascii="Times New Roman" w:hAnsi="Times New Roman" w:cs="Times New Roman"/>
              </w:rPr>
              <w:t>100</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91</w:t>
            </w:r>
          </w:p>
        </w:tc>
      </w:tr>
      <w:tr>
        <w:tblPrEx>
          <w:tblCellMar>
            <w:top w:w="0" w:type="dxa"/>
            <w:left w:w="0" w:type="dxa"/>
            <w:bottom w:w="0" w:type="dxa"/>
            <w:right w:w="0" w:type="dxa"/>
          </w:tblCellMar>
        </w:tblPrEx>
        <w:trPr>
          <w:trHeight w:val="431"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评价结论：</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2019年部门整体绩效自评优秀</w:t>
            </w:r>
          </w:p>
        </w:tc>
      </w:tr>
      <w:tr>
        <w:tblPrEx>
          <w:tblCellMar>
            <w:top w:w="0" w:type="dxa"/>
            <w:left w:w="0" w:type="dxa"/>
            <w:bottom w:w="0" w:type="dxa"/>
            <w:right w:w="0" w:type="dxa"/>
          </w:tblCellMar>
        </w:tblPrEx>
        <w:trPr>
          <w:trHeight w:val="493"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绩效指标完成的指标</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预算完成率 、预算调整率、“三公经费”变动率、结转结余变动率、采购管理、资产管理、人员管理、信息管理等</w:t>
            </w:r>
          </w:p>
        </w:tc>
      </w:tr>
      <w:tr>
        <w:tblPrEx>
          <w:tblCellMar>
            <w:top w:w="0" w:type="dxa"/>
            <w:left w:w="0" w:type="dxa"/>
            <w:bottom w:w="0" w:type="dxa"/>
            <w:right w:w="0" w:type="dxa"/>
          </w:tblCellMar>
        </w:tblPrEx>
        <w:trPr>
          <w:trHeight w:val="452" w:hRule="atLeast"/>
        </w:trPr>
        <w:tc>
          <w:tcPr>
            <w:tcW w:w="5635"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超标完成和尚未完成的绩效指标与目标值偏差程度</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逐项将相应指标一一列举。</w:t>
            </w:r>
          </w:p>
        </w:tc>
      </w:tr>
      <w:tr>
        <w:tblPrEx>
          <w:tblCellMar>
            <w:top w:w="0" w:type="dxa"/>
            <w:left w:w="0" w:type="dxa"/>
            <w:bottom w:w="0" w:type="dxa"/>
            <w:right w:w="0" w:type="dxa"/>
          </w:tblCellMar>
        </w:tblPrEx>
        <w:trPr>
          <w:trHeight w:val="513" w:hRule="atLeast"/>
        </w:trPr>
        <w:tc>
          <w:tcPr>
            <w:tcW w:w="5635" w:type="dxa"/>
            <w:gridSpan w:val="5"/>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超标完成和尚未完成的绩效指标原因说明</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部门效果有待提升,部门产出需进一步提高</w:t>
            </w:r>
          </w:p>
        </w:tc>
      </w:tr>
      <w:tr>
        <w:tblPrEx>
          <w:tblCellMar>
            <w:top w:w="0" w:type="dxa"/>
            <w:left w:w="0" w:type="dxa"/>
            <w:bottom w:w="0" w:type="dxa"/>
            <w:right w:w="0" w:type="dxa"/>
          </w:tblCellMar>
        </w:tblPrEx>
        <w:trPr>
          <w:trHeight w:val="690" w:hRule="atLeast"/>
        </w:trPr>
        <w:tc>
          <w:tcPr>
            <w:tcW w:w="20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改进措施</w:t>
            </w: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textAlignment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1.对部门预算编制、预算执行与部门决算等的措施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在年初预算资金细化测算,预算绩效设置与实际工作可量化强</w:t>
            </w:r>
          </w:p>
        </w:tc>
      </w:tr>
      <w:tr>
        <w:tblPrEx>
          <w:tblCellMar>
            <w:top w:w="0" w:type="dxa"/>
            <w:left w:w="0" w:type="dxa"/>
            <w:bottom w:w="0" w:type="dxa"/>
            <w:right w:w="0" w:type="dxa"/>
          </w:tblCellMar>
        </w:tblPrEx>
        <w:trPr>
          <w:trHeight w:val="575"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textAlignment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2.对制度完善、人员管理、资产配置等的措施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default"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严格按照局制度管理规范</w:t>
            </w:r>
          </w:p>
        </w:tc>
      </w:tr>
      <w:tr>
        <w:tblPrEx>
          <w:tblCellMar>
            <w:top w:w="0" w:type="dxa"/>
            <w:left w:w="0" w:type="dxa"/>
            <w:bottom w:w="0" w:type="dxa"/>
            <w:right w:w="0" w:type="dxa"/>
          </w:tblCellMar>
        </w:tblPrEx>
        <w:trPr>
          <w:trHeight w:val="585" w:hRule="atLeast"/>
        </w:trPr>
        <w:tc>
          <w:tcPr>
            <w:tcW w:w="2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Times New Roman" w:hAnsi="Times New Roman" w:cs="Times New Roman"/>
              </w:rPr>
            </w:pPr>
          </w:p>
        </w:tc>
        <w:tc>
          <w:tcPr>
            <w:tcW w:w="35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textAlignment w:val="center"/>
              <w:rPr>
                <w:rFonts w:ascii="Times New Roman" w:hAnsi="Times New Roman" w:eastAsia="等线" w:cs="Times New Roman"/>
                <w:color w:val="000000"/>
                <w:sz w:val="20"/>
                <w:szCs w:val="20"/>
              </w:rPr>
            </w:pPr>
            <w:r>
              <w:rPr>
                <w:rStyle w:val="24"/>
                <w:rFonts w:eastAsia="等线"/>
              </w:rPr>
              <w:t>3</w:t>
            </w:r>
            <w:r>
              <w:rPr>
                <w:rFonts w:ascii="Times New Roman" w:hAnsi="Times New Roman" w:eastAsia="等线" w:cs="Times New Roman"/>
                <w:color w:val="000000"/>
                <w:kern w:val="0"/>
                <w:sz w:val="18"/>
                <w:szCs w:val="18"/>
              </w:rPr>
              <w:t>.其他措施</w:t>
            </w:r>
          </w:p>
        </w:tc>
        <w:tc>
          <w:tcPr>
            <w:tcW w:w="82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无</w:t>
            </w:r>
          </w:p>
        </w:tc>
      </w:tr>
    </w:tbl>
    <w:p>
      <w:pPr>
        <w:rPr>
          <w:color w:val="000000" w:themeColor="text1"/>
          <w14:textFill>
            <w14:solidFill>
              <w14:schemeClr w14:val="tx1"/>
            </w14:solidFill>
          </w14:textFill>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92032"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92032;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Fw732kwAgAAVgQAAA4AAAAAAAAAAQAgAAAAKAEAAGRycy9lMm9Eb2Mu&#10;eG1sUEsFBgAAAAAGAAYAWQEAAMoFAAAAAA==&#10;">
              <v:fill on="f" focussize="0,0"/>
              <v:stroke on="f" weight="0.5pt"/>
              <v:imagedata o:title=""/>
              <o:lock v:ext="edit" aspectratio="f"/>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lef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6pt;height:18.7pt;width:144pt;mso-position-horizontal:center;mso-position-horizontal-relative:margin;mso-wrap-style:none;z-index:251672576;mso-width-relative:page;mso-height-relative:page;" filled="f" stroked="f" coordsize="21600,21600" o:gfxdata="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BTWuA1QAAAAcBAAAPAAAAAAAAAAEAIAAAACIAAABkcnMvZG93bnJldi54bWxQSwEC&#10;FAAUAAAACACHTuJArxNQ/zACAABWBAAADgAAAAAAAAABACAAAAAkAQAAZHJzL2Uyb0RvYy54bWxQ&#10;SwUGAAAAAAYABgBZAQAAxgUAAAAA&#10;">
              <v:fill on="f" focussize="0,0"/>
              <v:stroke on="f" weight="0.5pt"/>
              <v:imagedata o:title=""/>
              <o:lock v:ext="edit" aspectratio="f"/>
              <v:textbox inset="0mm,0mm,0mm,0mm">
                <w:txbxContent>
                  <w:p>
                    <w:pPr>
                      <w:pStyle w:val="7"/>
                      <w:jc w:val="lef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-76200</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6pt;height:14.3pt;width:30.6pt;mso-position-horizontal:center;mso-position-horizontal-relative:margin;z-index:251667456;mso-width-relative:page;mso-height-relative:page;" filled="f" stroked="f" coordsize="21600,21600" o:gfxdata="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01ZhNMAAAAGAQAADwAAAAAAAAABACAAAAAiAAAAZHJzL2Rvd25yZXYueG1sUEsBAhQA&#10;FAAAAAgAh07iQOwo99owAgAAVQQAAA4AAAAAAAAAAQAgAAAAIgEAAGRycy9lMm9Eb2MueG1sUEsF&#10;BgAAAAAGAAYAWQEAAMQFAAAAAA==&#10;">
              <v:fill on="f" focussize="0,0"/>
              <v:stroke on="f" weight="0.5pt"/>
              <v:imagedata o:title=""/>
              <o:lock v:ext="edit" aspectratio="f"/>
              <v:textbox inset="0mm,0mm,0mm,0mm">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-76200</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6pt;height:35.15pt;width:34pt;mso-position-horizontal:center;mso-position-horizontal-relative:margin;z-index:251668480;mso-width-relative:page;mso-height-relative:page;" filled="f" stroked="f" coordsize="21600,21600" o:gfxdata="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as0GDWAAAABgEAAA8AAAAAAAAAAQAgAAAAIgAAAGRycy9kb3ducmV2LnhtbFBL&#10;AQIUABQAAAAIAIdO4kAFGwodMQIAAFUEAAAOAAAAAAAAAAEAIAAAACUBAABkcnMvZTJvRG9jLnht&#10;bFBLBQYAAAAABgAGAFkBAADIBQAAAAA=&#10;">
              <v:fill on="f" focussize="0,0"/>
              <v:stroke on="f" weight="0.5pt"/>
              <v:imagedata o:title=""/>
              <o:lock v:ext="edit" aspectratio="f"/>
              <v:textbox inset="0mm,0mm,0mm,0mm">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6pt;height:18.7pt;width:144pt;mso-position-horizontal:center;mso-position-horizontal-relative:margin;mso-wrap-style:none;z-index:251669504;mso-width-relative:page;mso-height-relative:page;" filled="f" stroked="f" coordsize="21600,21600" o:gfxdata="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U1rgNUAAAAHAQAADwAAAAAAAAABACAAAAAiAAAAZHJzL2Rvd25yZXYueG1sUEsB&#10;AhQAFAAAAAgAh07iQEMlq7kxAgAAVAQAAA4AAAAAAAAAAQAgAAAAJAEAAGRycy9lMm9Eb2MueG1s&#10;UEsFBgAAAAAGAAYAWQEAAMcFAAAAAA==&#10;">
              <v:fill on="f" focussize="0,0"/>
              <v:stroke on="f" weight="0.5pt"/>
              <v:imagedata o:title=""/>
              <o:lock v:ext="edit" aspectratio="f"/>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-76200</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6pt;height:31.45pt;width:30.15pt;mso-position-horizontal:center;mso-position-horizontal-relative:margin;z-index:251670528;mso-width-relative:page;mso-height-relative:page;" filled="f" stroked="f" coordsize="21600,21600" o:gfxdata="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bpCU+1QAAAAYBAAAPAAAAAAAAAAEAIAAAACIAAABkcnMvZG93bnJldi54bWxQ&#10;SwECFAAUAAAACACHTuJAmLOw7DMCAABXBAAADgAAAAAAAAABACAAAAAkAQAAZHJzL2Uyb0RvYy54&#10;bWxQSwUGAAAAAAYABgBZAQAAyQUAAAAA&#10;">
              <v:fill on="f" focussize="0,0"/>
              <v:stroke on="f" weight="0.5pt"/>
              <v:imagedata o:title=""/>
              <o:lock v:ext="edit" aspectratio="f"/>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76672"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76672;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77696;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fill on="f" focussize="0,0"/>
              <v:stroke on="f" weight="0.5pt"/>
              <v:imagedata o:title=""/>
              <o:lock v:ext="edit" aspectratio="f"/>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93056"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93056;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94080"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94080;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89984"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89984;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91008" behindDoc="0" locked="0" layoutInCell="1" allowOverlap="1">
              <wp:simplePos x="0" y="0"/>
              <wp:positionH relativeFrom="page">
                <wp:align>left</wp:align>
              </wp:positionH>
              <wp:positionV relativeFrom="page">
                <wp:posOffset>377825</wp:posOffset>
              </wp:positionV>
              <wp:extent cx="3228975" cy="406400"/>
              <wp:effectExtent l="0" t="0" r="0" b="0"/>
              <wp:wrapNone/>
              <wp:docPr id="31" name="组合 31"/>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32"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3"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91008;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PCAQPtcAAAAHAQAADwAAAAAAAAABACAAAAAiAAAAZHJzL2Rvd25yZXYueG1sUEsBAhQAFAAA&#10;AAgAh07iQJXaOVNGAwAAgwgAAA4AAAAAAAAAAQAgAAAAJgEAAGRycy9lMm9Eb2MueG1sUEsFBgAA&#10;AAAGAAYAWQEAAN4GAAAAAA==&#10;">
              <o:lock v:ext="edit" aspectratio="f"/>
              <v:shape id="文本框 6" o:spid="_x0000_s1026" o:spt="202" type="#_x0000_t202" style="position:absolute;left:1401;top:880;height:641;width:3087;"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mP35UbwAAADb&#10;AAAADwAAAGRycy9kb3ducmV2LnhtbEWPQWsCMRSE7wX/Q3hCL0WTrbWsW6OIVPDqKj0/N8/dpZuX&#10;JYmr/fdNQehxmJlvmOX6bjsxkA+tYw3ZVIEgrpxpudZwOu4mOYgQkQ12jknDDwVYr0ZPSyyMu/GB&#10;hjLWIkE4FKihibEvpAxVQxbD1PXEybs4bzEm6WtpPN4S3HbyVal3abHltNBgT9uGqu/yahPltNjM&#10;5Wd+zt5etl+5H7LyoHZaP48z9QEi0j3+hx/tvdEwm8Hfl/QD5O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j9+VG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78720" behindDoc="0" locked="0" layoutInCell="1" allowOverlap="1">
              <wp:simplePos x="0" y="0"/>
              <wp:positionH relativeFrom="page">
                <wp:posOffset>28575</wp:posOffset>
              </wp:positionH>
              <wp:positionV relativeFrom="topMargin">
                <wp:posOffset>361950</wp:posOffset>
              </wp:positionV>
              <wp:extent cx="6915150" cy="447675"/>
              <wp:effectExtent l="0" t="0" r="0" b="9525"/>
              <wp:wrapNone/>
              <wp:docPr id="42" name="组合 42"/>
              <wp:cNvGraphicFramePr/>
              <a:graphic xmlns:a="http://schemas.openxmlformats.org/drawingml/2006/main">
                <a:graphicData uri="http://schemas.microsoft.com/office/word/2010/wordprocessingGroup">
                  <wpg:wgp>
                    <wpg:cNvGrpSpPr/>
                    <wpg:grpSpPr>
                      <a:xfrm>
                        <a:off x="0" y="0"/>
                        <a:ext cx="6915150" cy="447675"/>
                        <a:chOff x="881" y="505"/>
                        <a:chExt cx="11930" cy="1179"/>
                      </a:xfrm>
                    </wpg:grpSpPr>
                    <wps:wsp>
                      <wps:cNvPr id="4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28.5pt;height:35.25pt;width:544.5pt;mso-position-horizontal-relative:page;mso-position-vertical-relative:page;z-index:251678720;mso-width-relative:page;mso-height-relative:page;" coordorigin="881,505" coordsize="11930,1179" o:gfxdata="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xh85j9kAAAAJAQAADwAAAAAAAAABACAAAAAiAAAAZHJzL2Rvd25yZXYueG1sUEsBAhQA&#10;FAAAAAgAh07iQCAlhCMPBQAA7h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4t4BeL0AAADb&#10;AAAADwAAAGRycy9kb3ducmV2LnhtbEWPzWrDMBCE74W+g9hCLqWRkqYhuJZzKA3pISE0zQMs1tYy&#10;tlbGkvPz9lEgkOMwM98w+fLsWnGkPtSeNUzGCgRx6U3NlYbD3+ptASJEZIOtZ9JwoQDL4vkpx8z4&#10;E//ScR8rkSAcMtRgY+wyKUNpyWEY+444ef++dxiT7CtpejwluGvlVKm5dFhzWrDY0ZelstkPTsMQ&#10;zMdgd6rZNNs5x7X7bspXpfXoZaI+QUQ6x0f43v4xGmbvcPuSfoAs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3gF4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6osHGL8AAADb&#10;AAAADwAAAGRycy9kb3ducmV2LnhtbEWP0WrCQBRE3wv9h+UW+mY2lqBp6iqlrdgnbTUfcMlek2j2&#10;bsiuSfz7riD0cZiZM8xiNZpG9NS52rKCaRSDIC6srrlUkB/WkxSE88gaG8uk4EoOVsvHhwVm2g78&#10;S/3elyJA2GWooPK+zaR0RUUGXWRb4uAdbWfQB9mVUnc4BLhp5Escz6TBmsNChS19VFSc9xej4H27&#10;e13/FGleNof5kH+dPufJ5qTU89M0fgPhafT/4Xv7WytIErh9C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LBxi/&#10;AAAA2w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L6oALwAAADb&#10;AAAADwAAAGRycy9kb3ducmV2LnhtbEWP3WoCMRSE74W+QziCd5qspbasRqlCQUpvXPsAh83pZn9y&#10;sm7iat++KRR6Ocx8M8xmd3edGGkItWcN2UKBIC69qbnS8Hl+m7+ACBHZYOeZNHxTgN32YbLB3Pgb&#10;n2gsYiVSCYccNdgY+1zKUFpyGBa+J07elx8cxiSHSpoBb6ncdXKp1Eo6rDktWOzpYKlsi6vT8DTy&#10;R3uxqsd9vGT2NWvew3Oj9WyaqTWISPf4H/6jjyZxj/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qAC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377825</wp:posOffset>
              </wp:positionV>
              <wp:extent cx="3556000" cy="406400"/>
              <wp:effectExtent l="0" t="0" r="0" b="0"/>
              <wp:wrapNone/>
              <wp:docPr id="54" name="组合 54"/>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55"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9744;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x6bsHtcAAAAHAQAADwAAAAAAAAABACAAAAAiAAAAZHJzL2Rvd25yZXYueG1sUEsBAhQAFAAAAAgA&#10;h07iQL7NvuRDAwAAgwgAAA4AAAAAAAAAAQAgAAAAJgEAAGRycy9lMm9Eb2MueG1sUEsFBgAAAAAG&#10;AAYAWQEAANsGAAAAAA==&#10;">
              <o:lock v:ext="edit" aspectratio="f"/>
              <v:shape id="文本框 6" o:spid="_x0000_s1026" o:spt="202" type="#_x0000_t202" style="position:absolute;left:1401;top:880;height:641;width:3087;"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VVW/abwAAADb&#10;AAAADwAAAGRycy9kb3ducmV2LnhtbEWPQWsCMRSE7wX/Q3iCl6LJSpXt1igiCl7dSs/Pzevu0s3L&#10;ksRV/70pFHocZuYbZrW5204M5EPrWEM2UyCIK2darjWcPw/THESIyAY7x6ThQQE269HLCgvjbnyi&#10;oYy1SBAOBWpoYuwLKUPVkMUwcz1x8r6dtxiT9LU0Hm8Jbjs5V2opLbacFhrsaddQ9VNebaKc37cL&#10;uc8v2dvr7iv3Q1ae1EHryThTHyAi3eN/+K99NBoWS/j9kn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Vv2m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2336"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62336;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1312"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61312;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63360;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438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6438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6432"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6432;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65408;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drawingGridHorizontalSpacing w:val="105"/>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2588F"/>
    <w:rsid w:val="0007063E"/>
    <w:rsid w:val="00073392"/>
    <w:rsid w:val="00073F4E"/>
    <w:rsid w:val="00086C89"/>
    <w:rsid w:val="000A39FB"/>
    <w:rsid w:val="000A5468"/>
    <w:rsid w:val="00110AF6"/>
    <w:rsid w:val="00117746"/>
    <w:rsid w:val="00163F95"/>
    <w:rsid w:val="00177BEB"/>
    <w:rsid w:val="00180A9A"/>
    <w:rsid w:val="001829C0"/>
    <w:rsid w:val="00184809"/>
    <w:rsid w:val="001878E9"/>
    <w:rsid w:val="00192112"/>
    <w:rsid w:val="001B0127"/>
    <w:rsid w:val="001C12D5"/>
    <w:rsid w:val="001C69F7"/>
    <w:rsid w:val="001D6F97"/>
    <w:rsid w:val="002650EC"/>
    <w:rsid w:val="002A6C46"/>
    <w:rsid w:val="002C19B5"/>
    <w:rsid w:val="002E6711"/>
    <w:rsid w:val="00332F9E"/>
    <w:rsid w:val="00335973"/>
    <w:rsid w:val="0033784A"/>
    <w:rsid w:val="00365EE5"/>
    <w:rsid w:val="003A4EE8"/>
    <w:rsid w:val="003D72B8"/>
    <w:rsid w:val="003E1B81"/>
    <w:rsid w:val="00442CC2"/>
    <w:rsid w:val="00446244"/>
    <w:rsid w:val="00473C20"/>
    <w:rsid w:val="004D61CB"/>
    <w:rsid w:val="004E04F7"/>
    <w:rsid w:val="005011D6"/>
    <w:rsid w:val="00503F2E"/>
    <w:rsid w:val="00510532"/>
    <w:rsid w:val="00552226"/>
    <w:rsid w:val="00560280"/>
    <w:rsid w:val="00566120"/>
    <w:rsid w:val="005758DB"/>
    <w:rsid w:val="00582E6D"/>
    <w:rsid w:val="005954D5"/>
    <w:rsid w:val="005A53FA"/>
    <w:rsid w:val="005D1293"/>
    <w:rsid w:val="005D5121"/>
    <w:rsid w:val="00630D2B"/>
    <w:rsid w:val="006317C3"/>
    <w:rsid w:val="00644D5F"/>
    <w:rsid w:val="00646D44"/>
    <w:rsid w:val="00657F86"/>
    <w:rsid w:val="006727AD"/>
    <w:rsid w:val="00691425"/>
    <w:rsid w:val="006A516E"/>
    <w:rsid w:val="006B0830"/>
    <w:rsid w:val="006D4319"/>
    <w:rsid w:val="00714F74"/>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07D9C"/>
    <w:rsid w:val="00921602"/>
    <w:rsid w:val="00957EA1"/>
    <w:rsid w:val="00966E5B"/>
    <w:rsid w:val="009B4EF0"/>
    <w:rsid w:val="009D271F"/>
    <w:rsid w:val="00A929C2"/>
    <w:rsid w:val="00AA283B"/>
    <w:rsid w:val="00AA7981"/>
    <w:rsid w:val="00AD097F"/>
    <w:rsid w:val="00AD25D1"/>
    <w:rsid w:val="00B47723"/>
    <w:rsid w:val="00B47E7A"/>
    <w:rsid w:val="00B518BA"/>
    <w:rsid w:val="00B62993"/>
    <w:rsid w:val="00B844F4"/>
    <w:rsid w:val="00BA06A1"/>
    <w:rsid w:val="00BA770A"/>
    <w:rsid w:val="00C054DE"/>
    <w:rsid w:val="00C1677F"/>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872FB"/>
    <w:rsid w:val="00EA05EC"/>
    <w:rsid w:val="00EC06F4"/>
    <w:rsid w:val="00ED141E"/>
    <w:rsid w:val="00EE4E36"/>
    <w:rsid w:val="00F665F4"/>
    <w:rsid w:val="00FD225F"/>
    <w:rsid w:val="00FE1CE0"/>
    <w:rsid w:val="0126792A"/>
    <w:rsid w:val="012F258B"/>
    <w:rsid w:val="01480A71"/>
    <w:rsid w:val="01811F1F"/>
    <w:rsid w:val="01F01B06"/>
    <w:rsid w:val="0206068D"/>
    <w:rsid w:val="021D0920"/>
    <w:rsid w:val="02875E55"/>
    <w:rsid w:val="029C6D9B"/>
    <w:rsid w:val="02DC0324"/>
    <w:rsid w:val="02F53648"/>
    <w:rsid w:val="030C566B"/>
    <w:rsid w:val="03370B36"/>
    <w:rsid w:val="03C97614"/>
    <w:rsid w:val="03CB7677"/>
    <w:rsid w:val="04A86765"/>
    <w:rsid w:val="04CF5F66"/>
    <w:rsid w:val="04DE376D"/>
    <w:rsid w:val="04E62E62"/>
    <w:rsid w:val="051E1A46"/>
    <w:rsid w:val="05227869"/>
    <w:rsid w:val="052D0DF9"/>
    <w:rsid w:val="05572F8D"/>
    <w:rsid w:val="0578580A"/>
    <w:rsid w:val="05AB1410"/>
    <w:rsid w:val="05E44955"/>
    <w:rsid w:val="06125420"/>
    <w:rsid w:val="066B420A"/>
    <w:rsid w:val="06D525DE"/>
    <w:rsid w:val="06F75EE0"/>
    <w:rsid w:val="07390BF0"/>
    <w:rsid w:val="080F4D00"/>
    <w:rsid w:val="0812529A"/>
    <w:rsid w:val="08396F20"/>
    <w:rsid w:val="087A0C9B"/>
    <w:rsid w:val="08D4115B"/>
    <w:rsid w:val="09242B25"/>
    <w:rsid w:val="0950163E"/>
    <w:rsid w:val="09BC3CC4"/>
    <w:rsid w:val="09CE4907"/>
    <w:rsid w:val="0A286FCD"/>
    <w:rsid w:val="0A9309A9"/>
    <w:rsid w:val="0AFE158A"/>
    <w:rsid w:val="0B011416"/>
    <w:rsid w:val="0B3A458A"/>
    <w:rsid w:val="0B3F58D8"/>
    <w:rsid w:val="0B457796"/>
    <w:rsid w:val="0B4D616C"/>
    <w:rsid w:val="0BE6281C"/>
    <w:rsid w:val="0C0B4725"/>
    <w:rsid w:val="0C432B4C"/>
    <w:rsid w:val="0C6211E0"/>
    <w:rsid w:val="0CA70C6A"/>
    <w:rsid w:val="0CB91C4A"/>
    <w:rsid w:val="0D015F4E"/>
    <w:rsid w:val="0D4506DE"/>
    <w:rsid w:val="0D513A36"/>
    <w:rsid w:val="0DDD40C9"/>
    <w:rsid w:val="0DED1A1C"/>
    <w:rsid w:val="0E2642E3"/>
    <w:rsid w:val="0E644C6D"/>
    <w:rsid w:val="0E6A76B1"/>
    <w:rsid w:val="0EE053BA"/>
    <w:rsid w:val="0F0A0D8F"/>
    <w:rsid w:val="0F1421AB"/>
    <w:rsid w:val="0F392CBA"/>
    <w:rsid w:val="0F534A8A"/>
    <w:rsid w:val="0F9D3C9B"/>
    <w:rsid w:val="0FEA25DF"/>
    <w:rsid w:val="0FFD4461"/>
    <w:rsid w:val="0FFF7090"/>
    <w:rsid w:val="10494F72"/>
    <w:rsid w:val="1080073A"/>
    <w:rsid w:val="1083439E"/>
    <w:rsid w:val="10CD3B90"/>
    <w:rsid w:val="11385579"/>
    <w:rsid w:val="11A34AAF"/>
    <w:rsid w:val="11A87400"/>
    <w:rsid w:val="11BF43D0"/>
    <w:rsid w:val="11C66005"/>
    <w:rsid w:val="11FE63BA"/>
    <w:rsid w:val="12475E17"/>
    <w:rsid w:val="12850BA2"/>
    <w:rsid w:val="12F37AAB"/>
    <w:rsid w:val="13591AAC"/>
    <w:rsid w:val="140E1D80"/>
    <w:rsid w:val="1450654E"/>
    <w:rsid w:val="14C76A15"/>
    <w:rsid w:val="150A6D52"/>
    <w:rsid w:val="15374C0C"/>
    <w:rsid w:val="1557026A"/>
    <w:rsid w:val="15624B74"/>
    <w:rsid w:val="158552A6"/>
    <w:rsid w:val="15BB3452"/>
    <w:rsid w:val="169E4906"/>
    <w:rsid w:val="16AB0C16"/>
    <w:rsid w:val="16B7302B"/>
    <w:rsid w:val="16BA3CFF"/>
    <w:rsid w:val="17251517"/>
    <w:rsid w:val="178237DE"/>
    <w:rsid w:val="181D37D2"/>
    <w:rsid w:val="18412728"/>
    <w:rsid w:val="184B4BAA"/>
    <w:rsid w:val="18B10EEA"/>
    <w:rsid w:val="18C76859"/>
    <w:rsid w:val="18EA0D31"/>
    <w:rsid w:val="191741C8"/>
    <w:rsid w:val="19182B15"/>
    <w:rsid w:val="196E4065"/>
    <w:rsid w:val="199D1A4E"/>
    <w:rsid w:val="1A5B0972"/>
    <w:rsid w:val="1A5C431A"/>
    <w:rsid w:val="1ABF5389"/>
    <w:rsid w:val="1B153BC1"/>
    <w:rsid w:val="1B2674F5"/>
    <w:rsid w:val="1B426BF3"/>
    <w:rsid w:val="1B4706C2"/>
    <w:rsid w:val="1B7C7BDB"/>
    <w:rsid w:val="1C393AAE"/>
    <w:rsid w:val="1CD72E7C"/>
    <w:rsid w:val="1CFD0D27"/>
    <w:rsid w:val="1D080D32"/>
    <w:rsid w:val="1D2760D5"/>
    <w:rsid w:val="1D3343EC"/>
    <w:rsid w:val="1DA33D08"/>
    <w:rsid w:val="1DDB2521"/>
    <w:rsid w:val="1DE73DD2"/>
    <w:rsid w:val="1DFF053C"/>
    <w:rsid w:val="1E0C371B"/>
    <w:rsid w:val="1E5B4D58"/>
    <w:rsid w:val="1EDD6C9C"/>
    <w:rsid w:val="1F0852E4"/>
    <w:rsid w:val="1F1E6360"/>
    <w:rsid w:val="1F1E660E"/>
    <w:rsid w:val="1FBB0BFD"/>
    <w:rsid w:val="20464119"/>
    <w:rsid w:val="2061322E"/>
    <w:rsid w:val="206A5B42"/>
    <w:rsid w:val="206C1495"/>
    <w:rsid w:val="208E0DCE"/>
    <w:rsid w:val="20BD498B"/>
    <w:rsid w:val="20E65E8F"/>
    <w:rsid w:val="21563632"/>
    <w:rsid w:val="21D809E5"/>
    <w:rsid w:val="222F61BC"/>
    <w:rsid w:val="223B6F19"/>
    <w:rsid w:val="22F051EE"/>
    <w:rsid w:val="22F8411F"/>
    <w:rsid w:val="23004257"/>
    <w:rsid w:val="230741D5"/>
    <w:rsid w:val="235804D0"/>
    <w:rsid w:val="23EE3AC7"/>
    <w:rsid w:val="241B0056"/>
    <w:rsid w:val="243F6E74"/>
    <w:rsid w:val="245A22A1"/>
    <w:rsid w:val="247F4A21"/>
    <w:rsid w:val="24853250"/>
    <w:rsid w:val="254635F6"/>
    <w:rsid w:val="25A534D0"/>
    <w:rsid w:val="25DB33DC"/>
    <w:rsid w:val="25E13D9C"/>
    <w:rsid w:val="25E51337"/>
    <w:rsid w:val="25E53149"/>
    <w:rsid w:val="25FB0793"/>
    <w:rsid w:val="267F20C8"/>
    <w:rsid w:val="267F60C4"/>
    <w:rsid w:val="2680027B"/>
    <w:rsid w:val="26873B7B"/>
    <w:rsid w:val="26C66024"/>
    <w:rsid w:val="2701034D"/>
    <w:rsid w:val="27CA40CE"/>
    <w:rsid w:val="28063B5F"/>
    <w:rsid w:val="28107D26"/>
    <w:rsid w:val="285B2FB3"/>
    <w:rsid w:val="286878F0"/>
    <w:rsid w:val="28733852"/>
    <w:rsid w:val="28D71692"/>
    <w:rsid w:val="28FF6FCF"/>
    <w:rsid w:val="29283823"/>
    <w:rsid w:val="29472EEC"/>
    <w:rsid w:val="294823FB"/>
    <w:rsid w:val="29840F6F"/>
    <w:rsid w:val="29AC199C"/>
    <w:rsid w:val="29C91D95"/>
    <w:rsid w:val="29E10BCB"/>
    <w:rsid w:val="2A6F0030"/>
    <w:rsid w:val="2AE674D9"/>
    <w:rsid w:val="2AFF139F"/>
    <w:rsid w:val="2B0A4C85"/>
    <w:rsid w:val="2B585F00"/>
    <w:rsid w:val="2B5C4613"/>
    <w:rsid w:val="2B670631"/>
    <w:rsid w:val="2B9C7F87"/>
    <w:rsid w:val="2B9D06B0"/>
    <w:rsid w:val="2BBE29F2"/>
    <w:rsid w:val="2BEC66F3"/>
    <w:rsid w:val="2C7E680C"/>
    <w:rsid w:val="2C81735A"/>
    <w:rsid w:val="2CC33F03"/>
    <w:rsid w:val="2CFA24F4"/>
    <w:rsid w:val="2D3F2767"/>
    <w:rsid w:val="2D6E16D8"/>
    <w:rsid w:val="2DAF608C"/>
    <w:rsid w:val="2DCF62E5"/>
    <w:rsid w:val="2E734B85"/>
    <w:rsid w:val="2E8E07D8"/>
    <w:rsid w:val="2F4051BE"/>
    <w:rsid w:val="2F4F5031"/>
    <w:rsid w:val="2F9415AC"/>
    <w:rsid w:val="2FAC454C"/>
    <w:rsid w:val="2FE4309B"/>
    <w:rsid w:val="2FF965FE"/>
    <w:rsid w:val="30091065"/>
    <w:rsid w:val="30101D53"/>
    <w:rsid w:val="305C76C3"/>
    <w:rsid w:val="306E4E61"/>
    <w:rsid w:val="308916EC"/>
    <w:rsid w:val="3089766E"/>
    <w:rsid w:val="30BB45CA"/>
    <w:rsid w:val="316A62D7"/>
    <w:rsid w:val="3172657A"/>
    <w:rsid w:val="319C4EF1"/>
    <w:rsid w:val="31C2036A"/>
    <w:rsid w:val="320D02A5"/>
    <w:rsid w:val="32463E10"/>
    <w:rsid w:val="32526DBA"/>
    <w:rsid w:val="3346509F"/>
    <w:rsid w:val="334B3935"/>
    <w:rsid w:val="33554C42"/>
    <w:rsid w:val="338F369B"/>
    <w:rsid w:val="34433F7B"/>
    <w:rsid w:val="348E566F"/>
    <w:rsid w:val="35276A2F"/>
    <w:rsid w:val="353C6143"/>
    <w:rsid w:val="35575BBA"/>
    <w:rsid w:val="363519C2"/>
    <w:rsid w:val="36C45EA1"/>
    <w:rsid w:val="36C50459"/>
    <w:rsid w:val="37521818"/>
    <w:rsid w:val="376344E9"/>
    <w:rsid w:val="37785FDF"/>
    <w:rsid w:val="37C509E1"/>
    <w:rsid w:val="37D9714E"/>
    <w:rsid w:val="37F70A32"/>
    <w:rsid w:val="383A1FD0"/>
    <w:rsid w:val="38453851"/>
    <w:rsid w:val="38D8221D"/>
    <w:rsid w:val="390745CB"/>
    <w:rsid w:val="396B24BA"/>
    <w:rsid w:val="3982482D"/>
    <w:rsid w:val="39B93E50"/>
    <w:rsid w:val="3A112199"/>
    <w:rsid w:val="3A226944"/>
    <w:rsid w:val="3A580191"/>
    <w:rsid w:val="3A69485F"/>
    <w:rsid w:val="3AEE6A48"/>
    <w:rsid w:val="3B1430AE"/>
    <w:rsid w:val="3B195FFB"/>
    <w:rsid w:val="3B1D4F76"/>
    <w:rsid w:val="3B492D5B"/>
    <w:rsid w:val="3B810A68"/>
    <w:rsid w:val="3B961B4A"/>
    <w:rsid w:val="3BB71A4E"/>
    <w:rsid w:val="3C1620AA"/>
    <w:rsid w:val="3C487E32"/>
    <w:rsid w:val="3C6B1C2C"/>
    <w:rsid w:val="3C6E6DCD"/>
    <w:rsid w:val="3CAA35DC"/>
    <w:rsid w:val="3CEB2FD8"/>
    <w:rsid w:val="3CFD2C44"/>
    <w:rsid w:val="3D213562"/>
    <w:rsid w:val="3D8C23D1"/>
    <w:rsid w:val="3D8F080F"/>
    <w:rsid w:val="3DB32F57"/>
    <w:rsid w:val="3DE81DB3"/>
    <w:rsid w:val="3E6D498B"/>
    <w:rsid w:val="3F12127F"/>
    <w:rsid w:val="3F4649DD"/>
    <w:rsid w:val="3F8A1FF2"/>
    <w:rsid w:val="3FBB20C5"/>
    <w:rsid w:val="3FFF3AC4"/>
    <w:rsid w:val="404629B7"/>
    <w:rsid w:val="408B26CC"/>
    <w:rsid w:val="40D928AB"/>
    <w:rsid w:val="410971D7"/>
    <w:rsid w:val="41460E41"/>
    <w:rsid w:val="419B269B"/>
    <w:rsid w:val="41B66924"/>
    <w:rsid w:val="422C5981"/>
    <w:rsid w:val="42500F95"/>
    <w:rsid w:val="42756FB2"/>
    <w:rsid w:val="42A02C06"/>
    <w:rsid w:val="42B44FB6"/>
    <w:rsid w:val="4317208F"/>
    <w:rsid w:val="433A476F"/>
    <w:rsid w:val="43D55BE8"/>
    <w:rsid w:val="44CC5AA3"/>
    <w:rsid w:val="44CE1FA4"/>
    <w:rsid w:val="44E5660A"/>
    <w:rsid w:val="45E24796"/>
    <w:rsid w:val="46016E6D"/>
    <w:rsid w:val="46115237"/>
    <w:rsid w:val="463D277A"/>
    <w:rsid w:val="46A251AF"/>
    <w:rsid w:val="46D2496E"/>
    <w:rsid w:val="471F58F6"/>
    <w:rsid w:val="47623252"/>
    <w:rsid w:val="47714A17"/>
    <w:rsid w:val="479721F1"/>
    <w:rsid w:val="479E3367"/>
    <w:rsid w:val="47B304AF"/>
    <w:rsid w:val="48407A03"/>
    <w:rsid w:val="487F73ED"/>
    <w:rsid w:val="48A45A7A"/>
    <w:rsid w:val="48C151CB"/>
    <w:rsid w:val="48CA2FA6"/>
    <w:rsid w:val="49353F3F"/>
    <w:rsid w:val="49AF4B15"/>
    <w:rsid w:val="49CC317F"/>
    <w:rsid w:val="49E14221"/>
    <w:rsid w:val="49F17E46"/>
    <w:rsid w:val="4A347EAE"/>
    <w:rsid w:val="4A4410B3"/>
    <w:rsid w:val="4A4D7FCE"/>
    <w:rsid w:val="4A5C3590"/>
    <w:rsid w:val="4AFB1858"/>
    <w:rsid w:val="4B1B371A"/>
    <w:rsid w:val="4B966906"/>
    <w:rsid w:val="4BAC5E6E"/>
    <w:rsid w:val="4C245D03"/>
    <w:rsid w:val="4C4A27C0"/>
    <w:rsid w:val="4C4E7D09"/>
    <w:rsid w:val="4C6E5E63"/>
    <w:rsid w:val="4C955C5D"/>
    <w:rsid w:val="4D0F03E1"/>
    <w:rsid w:val="4D320250"/>
    <w:rsid w:val="4D442C92"/>
    <w:rsid w:val="4D7C6756"/>
    <w:rsid w:val="4D8D2B61"/>
    <w:rsid w:val="4D90602D"/>
    <w:rsid w:val="4DB15F4C"/>
    <w:rsid w:val="4E2025B8"/>
    <w:rsid w:val="4E297E43"/>
    <w:rsid w:val="4E511FCE"/>
    <w:rsid w:val="4E667200"/>
    <w:rsid w:val="4E860DEA"/>
    <w:rsid w:val="4E9F3524"/>
    <w:rsid w:val="4EF7635A"/>
    <w:rsid w:val="4F62202A"/>
    <w:rsid w:val="4F7B547B"/>
    <w:rsid w:val="4F7F131D"/>
    <w:rsid w:val="4FB222FD"/>
    <w:rsid w:val="4FC0652B"/>
    <w:rsid w:val="4FF65561"/>
    <w:rsid w:val="500F14A5"/>
    <w:rsid w:val="504B7D4A"/>
    <w:rsid w:val="510422B4"/>
    <w:rsid w:val="5133360B"/>
    <w:rsid w:val="5137397F"/>
    <w:rsid w:val="51E30FB0"/>
    <w:rsid w:val="51EA0B32"/>
    <w:rsid w:val="51F148D0"/>
    <w:rsid w:val="51F57CD8"/>
    <w:rsid w:val="52600405"/>
    <w:rsid w:val="527567E0"/>
    <w:rsid w:val="529B4319"/>
    <w:rsid w:val="52D11918"/>
    <w:rsid w:val="531C77A0"/>
    <w:rsid w:val="53E55924"/>
    <w:rsid w:val="53F06536"/>
    <w:rsid w:val="53FE0615"/>
    <w:rsid w:val="5465435E"/>
    <w:rsid w:val="54655449"/>
    <w:rsid w:val="5467692F"/>
    <w:rsid w:val="54744FD9"/>
    <w:rsid w:val="54F55CF8"/>
    <w:rsid w:val="554C472D"/>
    <w:rsid w:val="55530F6C"/>
    <w:rsid w:val="555957DD"/>
    <w:rsid w:val="559C4E3B"/>
    <w:rsid w:val="55D857A1"/>
    <w:rsid w:val="560D7BC6"/>
    <w:rsid w:val="56215E09"/>
    <w:rsid w:val="563B35B8"/>
    <w:rsid w:val="566749D8"/>
    <w:rsid w:val="56BE65A3"/>
    <w:rsid w:val="56E367D8"/>
    <w:rsid w:val="56EA114A"/>
    <w:rsid w:val="57254765"/>
    <w:rsid w:val="574E3CCC"/>
    <w:rsid w:val="57773DD6"/>
    <w:rsid w:val="578B79AB"/>
    <w:rsid w:val="57FC7FE6"/>
    <w:rsid w:val="584B6FF4"/>
    <w:rsid w:val="58817AF3"/>
    <w:rsid w:val="58BF35D8"/>
    <w:rsid w:val="5909136D"/>
    <w:rsid w:val="591C0F2A"/>
    <w:rsid w:val="59316924"/>
    <w:rsid w:val="595316EA"/>
    <w:rsid w:val="596273A9"/>
    <w:rsid w:val="598C2C5C"/>
    <w:rsid w:val="59A53360"/>
    <w:rsid w:val="5A005C31"/>
    <w:rsid w:val="5A0735C0"/>
    <w:rsid w:val="5A29240A"/>
    <w:rsid w:val="5A882284"/>
    <w:rsid w:val="5AAD1F28"/>
    <w:rsid w:val="5B872D95"/>
    <w:rsid w:val="5BC419F5"/>
    <w:rsid w:val="5C5D1C4E"/>
    <w:rsid w:val="5C6B73ED"/>
    <w:rsid w:val="5C761C31"/>
    <w:rsid w:val="5C852471"/>
    <w:rsid w:val="5CBA3400"/>
    <w:rsid w:val="5CC74262"/>
    <w:rsid w:val="5CCD3FD5"/>
    <w:rsid w:val="5CF27130"/>
    <w:rsid w:val="5D2A1328"/>
    <w:rsid w:val="5D3A05B1"/>
    <w:rsid w:val="5D970DAB"/>
    <w:rsid w:val="5D98162F"/>
    <w:rsid w:val="5DDB6900"/>
    <w:rsid w:val="5DF563B1"/>
    <w:rsid w:val="5E4274C3"/>
    <w:rsid w:val="5F3D5D91"/>
    <w:rsid w:val="5F9A3A6D"/>
    <w:rsid w:val="60903C38"/>
    <w:rsid w:val="609E2765"/>
    <w:rsid w:val="60A83459"/>
    <w:rsid w:val="60A96896"/>
    <w:rsid w:val="60EB7123"/>
    <w:rsid w:val="60F06055"/>
    <w:rsid w:val="610F0875"/>
    <w:rsid w:val="61163C26"/>
    <w:rsid w:val="611C7A2D"/>
    <w:rsid w:val="61240D81"/>
    <w:rsid w:val="61275F70"/>
    <w:rsid w:val="613E2748"/>
    <w:rsid w:val="61526DBA"/>
    <w:rsid w:val="61781159"/>
    <w:rsid w:val="61FA5F9D"/>
    <w:rsid w:val="6275055B"/>
    <w:rsid w:val="62AA75C3"/>
    <w:rsid w:val="62F96504"/>
    <w:rsid w:val="63281C7B"/>
    <w:rsid w:val="637017D8"/>
    <w:rsid w:val="63A76B71"/>
    <w:rsid w:val="63C55FD6"/>
    <w:rsid w:val="644D28BC"/>
    <w:rsid w:val="64595CD4"/>
    <w:rsid w:val="64CD6910"/>
    <w:rsid w:val="64F15FCD"/>
    <w:rsid w:val="654970DA"/>
    <w:rsid w:val="65695566"/>
    <w:rsid w:val="65E73D9B"/>
    <w:rsid w:val="66410473"/>
    <w:rsid w:val="66642676"/>
    <w:rsid w:val="66BC329E"/>
    <w:rsid w:val="6742560F"/>
    <w:rsid w:val="67462643"/>
    <w:rsid w:val="6789158D"/>
    <w:rsid w:val="67D81BA4"/>
    <w:rsid w:val="680C7E58"/>
    <w:rsid w:val="685E445F"/>
    <w:rsid w:val="686216D6"/>
    <w:rsid w:val="68760B49"/>
    <w:rsid w:val="688F62B7"/>
    <w:rsid w:val="68A56735"/>
    <w:rsid w:val="696F1DFE"/>
    <w:rsid w:val="69702F1D"/>
    <w:rsid w:val="698D6C0B"/>
    <w:rsid w:val="699B41C1"/>
    <w:rsid w:val="69A759AB"/>
    <w:rsid w:val="69CC656F"/>
    <w:rsid w:val="69D7423A"/>
    <w:rsid w:val="69F73DEA"/>
    <w:rsid w:val="6A3A035B"/>
    <w:rsid w:val="6A5259F5"/>
    <w:rsid w:val="6A825D27"/>
    <w:rsid w:val="6AA75921"/>
    <w:rsid w:val="6AAF1C96"/>
    <w:rsid w:val="6AC03B9C"/>
    <w:rsid w:val="6ADF6281"/>
    <w:rsid w:val="6B110CB8"/>
    <w:rsid w:val="6B270F46"/>
    <w:rsid w:val="6BD26533"/>
    <w:rsid w:val="6BE01F7B"/>
    <w:rsid w:val="6BE5608D"/>
    <w:rsid w:val="6C0E40DB"/>
    <w:rsid w:val="6C431AA5"/>
    <w:rsid w:val="6C4E635F"/>
    <w:rsid w:val="6D486FDB"/>
    <w:rsid w:val="6D7651AB"/>
    <w:rsid w:val="6D78102D"/>
    <w:rsid w:val="6E57159C"/>
    <w:rsid w:val="6E7A4F00"/>
    <w:rsid w:val="6E7D49A2"/>
    <w:rsid w:val="6EAD7609"/>
    <w:rsid w:val="6F2D7271"/>
    <w:rsid w:val="6F3A3DA6"/>
    <w:rsid w:val="706239EE"/>
    <w:rsid w:val="706E3B5D"/>
    <w:rsid w:val="708C3D14"/>
    <w:rsid w:val="70BE72A3"/>
    <w:rsid w:val="71447979"/>
    <w:rsid w:val="71CD142D"/>
    <w:rsid w:val="72052DE4"/>
    <w:rsid w:val="73096D13"/>
    <w:rsid w:val="73277182"/>
    <w:rsid w:val="73572B7D"/>
    <w:rsid w:val="73993C87"/>
    <w:rsid w:val="739E5C34"/>
    <w:rsid w:val="73BF7AD6"/>
    <w:rsid w:val="74636C80"/>
    <w:rsid w:val="74711FA1"/>
    <w:rsid w:val="74EB2BEE"/>
    <w:rsid w:val="74FC4D10"/>
    <w:rsid w:val="755C7440"/>
    <w:rsid w:val="755D11E2"/>
    <w:rsid w:val="75681757"/>
    <w:rsid w:val="75A346A8"/>
    <w:rsid w:val="75BF0D71"/>
    <w:rsid w:val="76085471"/>
    <w:rsid w:val="760E2195"/>
    <w:rsid w:val="765D7914"/>
    <w:rsid w:val="77191D1C"/>
    <w:rsid w:val="771C3611"/>
    <w:rsid w:val="772F5D80"/>
    <w:rsid w:val="775E65EB"/>
    <w:rsid w:val="77863F8E"/>
    <w:rsid w:val="77C16501"/>
    <w:rsid w:val="77CB63F1"/>
    <w:rsid w:val="781B04AB"/>
    <w:rsid w:val="782D12A0"/>
    <w:rsid w:val="7853387D"/>
    <w:rsid w:val="78540657"/>
    <w:rsid w:val="789354BA"/>
    <w:rsid w:val="78CD68DA"/>
    <w:rsid w:val="793D31C3"/>
    <w:rsid w:val="794C192F"/>
    <w:rsid w:val="798F5075"/>
    <w:rsid w:val="79901214"/>
    <w:rsid w:val="79B9382C"/>
    <w:rsid w:val="79D37612"/>
    <w:rsid w:val="79F70CBD"/>
    <w:rsid w:val="7A0A0B12"/>
    <w:rsid w:val="7A1B7BB7"/>
    <w:rsid w:val="7A3330F8"/>
    <w:rsid w:val="7A7E0D44"/>
    <w:rsid w:val="7A8F7817"/>
    <w:rsid w:val="7AA42D5C"/>
    <w:rsid w:val="7AA82BDB"/>
    <w:rsid w:val="7B043B76"/>
    <w:rsid w:val="7B144329"/>
    <w:rsid w:val="7B234F4D"/>
    <w:rsid w:val="7B2A1EF2"/>
    <w:rsid w:val="7B816F9E"/>
    <w:rsid w:val="7C041A6A"/>
    <w:rsid w:val="7C59123A"/>
    <w:rsid w:val="7C684FF0"/>
    <w:rsid w:val="7CD9405F"/>
    <w:rsid w:val="7D0D7E38"/>
    <w:rsid w:val="7D493E53"/>
    <w:rsid w:val="7D810DBE"/>
    <w:rsid w:val="7DAE5CCF"/>
    <w:rsid w:val="7DB07CBD"/>
    <w:rsid w:val="7DB12AC8"/>
    <w:rsid w:val="7DB96A10"/>
    <w:rsid w:val="7DFE1D70"/>
    <w:rsid w:val="7E1C4AD3"/>
    <w:rsid w:val="7E2C4314"/>
    <w:rsid w:val="7E327570"/>
    <w:rsid w:val="7E4A1F9B"/>
    <w:rsid w:val="7E843823"/>
    <w:rsid w:val="7F1E71F7"/>
    <w:rsid w:val="7F51271B"/>
    <w:rsid w:val="7F7008A3"/>
    <w:rsid w:val="7FB1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Calibri" w:hAnsi="Calibri" w:eastAsia="宋体" w:cs="黑体"/>
      <w:b/>
      <w:bCs/>
      <w:sz w:val="32"/>
      <w:szCs w:val="32"/>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仿宋_GB2312" w:hAnsi="仿宋_GB2312" w:eastAsia="仿宋_GB2312" w:cs="仿宋_GB2312"/>
      <w:sz w:val="32"/>
      <w:szCs w:val="32"/>
      <w:lang w:val="zh-CN" w:bidi="zh-CN"/>
    </w:rPr>
  </w:style>
  <w:style w:type="paragraph" w:styleId="6">
    <w:name w:val="Balloon Text"/>
    <w:basedOn w:val="1"/>
    <w:link w:val="15"/>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10">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2">
    <w:name w:val="页眉 字符"/>
    <w:basedOn w:val="11"/>
    <w:link w:val="8"/>
    <w:qFormat/>
    <w:uiPriority w:val="99"/>
    <w:rPr>
      <w:rFonts w:asciiTheme="minorHAnsi" w:hAnsiTheme="minorHAnsi" w:eastAsiaTheme="minorEastAsia"/>
      <w:sz w:val="18"/>
      <w:szCs w:val="18"/>
    </w:rPr>
  </w:style>
  <w:style w:type="character" w:customStyle="1" w:styleId="13">
    <w:name w:val="页脚 字符"/>
    <w:basedOn w:val="11"/>
    <w:link w:val="7"/>
    <w:qFormat/>
    <w:uiPriority w:val="99"/>
    <w:rPr>
      <w:sz w:val="18"/>
      <w:szCs w:val="18"/>
    </w:rPr>
  </w:style>
  <w:style w:type="paragraph" w:customStyle="1" w:styleId="14">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5">
    <w:name w:val="批注框文本 字符"/>
    <w:basedOn w:val="11"/>
    <w:link w:val="6"/>
    <w:semiHidden/>
    <w:qFormat/>
    <w:uiPriority w:val="99"/>
    <w:rPr>
      <w:rFonts w:asciiTheme="minorHAnsi" w:hAnsiTheme="minorHAnsi" w:eastAsiaTheme="minorEastAsia" w:cstheme="minorBidi"/>
      <w:kern w:val="2"/>
      <w:sz w:val="18"/>
      <w:szCs w:val="18"/>
    </w:rPr>
  </w:style>
  <w:style w:type="character" w:customStyle="1" w:styleId="16">
    <w:name w:val="font11"/>
    <w:qFormat/>
    <w:uiPriority w:val="0"/>
    <w:rPr>
      <w:rFonts w:ascii="仿宋_GB2312" w:eastAsia="仿宋_GB2312" w:cs="仿宋_GB2312"/>
      <w:color w:val="000000"/>
      <w:sz w:val="18"/>
      <w:szCs w:val="18"/>
      <w:u w:val="none"/>
      <w:lang w:bidi="ar-SA"/>
    </w:rPr>
  </w:style>
  <w:style w:type="character" w:customStyle="1" w:styleId="17">
    <w:name w:val="font112"/>
    <w:qFormat/>
    <w:uiPriority w:val="0"/>
    <w:rPr>
      <w:rFonts w:ascii="宋体" w:eastAsia="宋体" w:cs="宋体"/>
      <w:color w:val="000000"/>
      <w:sz w:val="18"/>
      <w:szCs w:val="18"/>
      <w:u w:val="none"/>
      <w:lang w:bidi="ar-SA"/>
    </w:rPr>
  </w:style>
  <w:style w:type="character" w:customStyle="1" w:styleId="18">
    <w:name w:val="font141"/>
    <w:qFormat/>
    <w:uiPriority w:val="0"/>
    <w:rPr>
      <w:rFonts w:ascii="Times New Roman" w:hAnsi="Times New Roman" w:cs="Times New Roman"/>
      <w:color w:val="000000"/>
      <w:sz w:val="18"/>
      <w:szCs w:val="18"/>
      <w:u w:val="none"/>
      <w:lang w:bidi="ar-SA"/>
    </w:rPr>
  </w:style>
  <w:style w:type="paragraph" w:styleId="19">
    <w:name w:val="List Paragraph"/>
    <w:basedOn w:val="1"/>
    <w:qFormat/>
    <w:uiPriority w:val="99"/>
    <w:pPr>
      <w:ind w:firstLine="420" w:firstLineChars="200"/>
    </w:pPr>
  </w:style>
  <w:style w:type="character" w:customStyle="1" w:styleId="20">
    <w:name w:val="font171"/>
    <w:basedOn w:val="11"/>
    <w:qFormat/>
    <w:uiPriority w:val="0"/>
    <w:rPr>
      <w:rFonts w:ascii="仿宋_GB2312" w:eastAsia="仿宋_GB2312" w:cs="仿宋_GB2312"/>
      <w:color w:val="000000"/>
      <w:sz w:val="18"/>
      <w:szCs w:val="18"/>
      <w:u w:val="none"/>
    </w:rPr>
  </w:style>
  <w:style w:type="character" w:customStyle="1" w:styleId="21">
    <w:name w:val="font51"/>
    <w:basedOn w:val="11"/>
    <w:qFormat/>
    <w:uiPriority w:val="0"/>
    <w:rPr>
      <w:rFonts w:ascii="Times New Roman" w:hAnsi="Times New Roman" w:cs="Times New Roman"/>
      <w:color w:val="000000"/>
      <w:sz w:val="18"/>
      <w:szCs w:val="18"/>
      <w:u w:val="none"/>
    </w:rPr>
  </w:style>
  <w:style w:type="character" w:customStyle="1" w:styleId="22">
    <w:name w:val="font161"/>
    <w:basedOn w:val="11"/>
    <w:qFormat/>
    <w:uiPriority w:val="0"/>
    <w:rPr>
      <w:rFonts w:ascii="宋体" w:eastAsia="宋体" w:cs="宋体"/>
      <w:color w:val="000000"/>
      <w:sz w:val="18"/>
      <w:szCs w:val="18"/>
      <w:u w:val="none"/>
    </w:rPr>
  </w:style>
  <w:style w:type="character" w:customStyle="1" w:styleId="23">
    <w:name w:val="font81"/>
    <w:basedOn w:val="11"/>
    <w:qFormat/>
    <w:uiPriority w:val="0"/>
    <w:rPr>
      <w:rFonts w:ascii="Times New Roman" w:hAnsi="Times New Roman" w:cs="Times New Roman"/>
      <w:color w:val="000000"/>
      <w:sz w:val="21"/>
      <w:szCs w:val="21"/>
      <w:u w:val="none"/>
    </w:rPr>
  </w:style>
  <w:style w:type="character" w:customStyle="1" w:styleId="24">
    <w:name w:val="font121"/>
    <w:basedOn w:val="11"/>
    <w:qFormat/>
    <w:uiPriority w:val="0"/>
    <w:rPr>
      <w:rFonts w:ascii="Times New Roman" w:hAnsi="Times New Roman" w:cs="Times New Roman"/>
      <w:color w:val="000000"/>
      <w:sz w:val="20"/>
      <w:szCs w:val="20"/>
      <w:u w:val="none"/>
    </w:rPr>
  </w:style>
  <w:style w:type="character" w:customStyle="1" w:styleId="25">
    <w:name w:val="font131"/>
    <w:basedOn w:val="11"/>
    <w:qFormat/>
    <w:uiPriority w:val="0"/>
    <w:rPr>
      <w:rFonts w:ascii="宋体" w:eastAsia="宋体" w:cs="宋体"/>
      <w:color w:val="000000"/>
      <w:sz w:val="20"/>
      <w:szCs w:val="20"/>
      <w:u w:val="none"/>
    </w:rPr>
  </w:style>
  <w:style w:type="character" w:customStyle="1" w:styleId="26">
    <w:name w:val="font01"/>
    <w:basedOn w:val="11"/>
    <w:qFormat/>
    <w:uiPriority w:val="0"/>
    <w:rPr>
      <w:rFonts w:hint="eastAsia" w:ascii="宋体" w:hAnsi="宋体" w:eastAsia="宋体" w:cs="宋体"/>
      <w:color w:val="000000"/>
      <w:sz w:val="24"/>
      <w:szCs w:val="24"/>
      <w:u w:val="none"/>
    </w:rPr>
  </w:style>
  <w:style w:type="character" w:customStyle="1" w:styleId="27">
    <w:name w:val="font21"/>
    <w:basedOn w:val="11"/>
    <w:qFormat/>
    <w:uiPriority w:val="0"/>
    <w:rPr>
      <w:rFonts w:hint="default" w:ascii="Times New Roman" w:hAnsi="Times New Roman" w:cs="Times New Roman"/>
      <w:color w:val="000000"/>
      <w:sz w:val="24"/>
      <w:szCs w:val="24"/>
      <w:u w:val="none"/>
    </w:rPr>
  </w:style>
  <w:style w:type="character" w:customStyle="1" w:styleId="28">
    <w:name w:val="font41"/>
    <w:basedOn w:val="11"/>
    <w:qFormat/>
    <w:uiPriority w:val="0"/>
    <w:rPr>
      <w:rFonts w:hint="eastAsia" w:ascii="宋体" w:hAnsi="宋体" w:eastAsia="宋体" w:cs="宋体"/>
      <w:color w:val="000000"/>
      <w:sz w:val="24"/>
      <w:szCs w:val="24"/>
      <w:u w:val="none"/>
    </w:rPr>
  </w:style>
  <w:style w:type="character" w:customStyle="1" w:styleId="29">
    <w:name w:val="font31"/>
    <w:basedOn w:val="1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customXml" Target="../customXml/item1.xml"/><Relationship Id="rId36" Type="http://schemas.openxmlformats.org/officeDocument/2006/relationships/chart" Target="charts/chart5.xml"/><Relationship Id="rId35" Type="http://schemas.openxmlformats.org/officeDocument/2006/relationships/chart" Target="charts/chart4.xml"/><Relationship Id="rId34" Type="http://schemas.openxmlformats.org/officeDocument/2006/relationships/chart" Target="charts/chart3.xml"/><Relationship Id="rId33" Type="http://schemas.openxmlformats.org/officeDocument/2006/relationships/chart" Target="charts/chart2.xml"/><Relationship Id="rId32" Type="http://schemas.openxmlformats.org/officeDocument/2006/relationships/chart" Target="charts/chart1.xml"/><Relationship Id="rId31" Type="http://schemas.openxmlformats.org/officeDocument/2006/relationships/image" Target="media/image2.bmp"/><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header" Target="header16.xml"/><Relationship Id="rId28" Type="http://schemas.openxmlformats.org/officeDocument/2006/relationships/footer" Target="footer11.xml"/><Relationship Id="rId27" Type="http://schemas.openxmlformats.org/officeDocument/2006/relationships/header" Target="header15.xml"/><Relationship Id="rId26" Type="http://schemas.openxmlformats.org/officeDocument/2006/relationships/footer" Target="footer10.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Microsoft%20Office%20Excel%2097-2003%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2"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Lbls>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rPr lang="en-US" altLang="zh-CN"/>
                      <a:t>6234.36</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[工作簿1]Sheet1!$A$1:$A$5</c:f>
              <c:strCache>
                <c:ptCount val="5"/>
                <c:pt idx="0">
                  <c:v>2019年度本年收入合计6186.48(万元)</c:v>
                </c:pt>
                <c:pt idx="1">
                  <c:v>财政拨款收入</c:v>
                </c:pt>
                <c:pt idx="2">
                  <c:v>事业收入</c:v>
                </c:pt>
                <c:pt idx="3">
                  <c:v>经营收入</c:v>
                </c:pt>
                <c:pt idx="4">
                  <c:v>其他收入</c:v>
                </c:pt>
              </c:strCache>
            </c:strRef>
          </c:cat>
          <c:val>
            <c:numRef>
              <c:f>[工作簿1]Sheet1!$B$1:$B$5</c:f>
              <c:numCache>
                <c:formatCode>General</c:formatCode>
                <c:ptCount val="5"/>
                <c:pt idx="1">
                  <c:v>6186.48</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rPr lang="en-US" altLang="zh-CN"/>
                      <a:t>992.81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2"/>
              <c:layout/>
              <c:dLblPos val="bestFit"/>
              <c:showLegendKey val="0"/>
              <c:showVal val="1"/>
              <c:showCatName val="0"/>
              <c:showSerName val="0"/>
              <c:showPercent val="0"/>
              <c:showBubbleSize val="0"/>
              <c:extLst>
                <c:ext xmlns:c15="http://schemas.microsoft.com/office/drawing/2012/chart" uri="{CE6537A1-D6FC-4f65-9D91-7224C49458BB}"/>
              </c:extLst>
            </c:dLbl>
            <c:dLbl>
              <c:idx val="3"/>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'[新建 Microsoft Office Excel 97-2003 工作表.xls]Sheet1'!$A$1:$A$4</c:f>
              <c:strCache>
                <c:ptCount val="4"/>
                <c:pt idx="0">
                  <c:v>2019年支出合计6685.02</c:v>
                </c:pt>
                <c:pt idx="1">
                  <c:v>基本支出</c:v>
                </c:pt>
                <c:pt idx="2">
                  <c:v>项目支出</c:v>
                </c:pt>
                <c:pt idx="3">
                  <c:v>经营支出</c:v>
                </c:pt>
              </c:strCache>
            </c:strRef>
          </c:cat>
          <c:val>
            <c:numRef>
              <c:f>'[新建 Microsoft Office Excel 97-2003 工作表.xls]Sheet1'!$B$1:$B$4</c:f>
              <c:numCache>
                <c:formatCode>General</c:formatCode>
                <c:ptCount val="4"/>
                <c:pt idx="1">
                  <c:v>944.93</c:v>
                </c:pt>
                <c:pt idx="2">
                  <c:v>5740.08</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en-US" altLang="zh-CN"/>
              <a:t>2019</a:t>
            </a:r>
            <a:r>
              <a:rPr altLang="en-US"/>
              <a:t>年与</a:t>
            </a:r>
            <a:r>
              <a:rPr lang="en-US" altLang="zh-CN"/>
              <a:t>2018</a:t>
            </a:r>
            <a:r>
              <a:rPr altLang="en-US"/>
              <a:t>年</a:t>
            </a:r>
            <a:r>
              <a:t>财政拨款收支情况对比</a:t>
            </a:r>
          </a:p>
        </c:rich>
      </c:tx>
      <c:layout/>
      <c:overlay val="0"/>
      <c:spPr>
        <a:noFill/>
        <a:ln>
          <a:noFill/>
        </a:ln>
        <a:effectLst/>
      </c:spPr>
    </c:title>
    <c:autoTitleDeleted val="0"/>
    <c:plotArea>
      <c:layout/>
      <c:barChart>
        <c:barDir val="col"/>
        <c:grouping val="stacked"/>
        <c:varyColors val="0"/>
        <c:ser>
          <c:idx val="0"/>
          <c:order val="0"/>
          <c:tx>
            <c:strRef>
              <c:f>[工作簿2]Sheet1!$A$2</c:f>
              <c:strCache>
                <c:ptCount val="1"/>
                <c:pt idx="0">
                  <c:v>2019年收支（万元）</c:v>
                </c:pt>
              </c:strCache>
            </c:strRef>
          </c:tx>
          <c:spPr>
            <a:solidFill>
              <a:srgbClr val="4F81BD"/>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rPr lang="en-US" altLang="zh-CN"/>
                      <a:t>6234.36</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rPr lang="en-US" altLang="zh-CN"/>
                      <a:t>6732.90</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[工作簿2]Sheet1!$B$1:$C$1</c:f>
              <c:strCache>
                <c:ptCount val="2"/>
                <c:pt idx="0">
                  <c:v>收入</c:v>
                </c:pt>
                <c:pt idx="1">
                  <c:v>支出</c:v>
                </c:pt>
              </c:strCache>
            </c:strRef>
          </c:cat>
          <c:val>
            <c:numRef>
              <c:f>[工作簿2]Sheet1!$B$2:$C$2</c:f>
              <c:numCache>
                <c:formatCode>General</c:formatCode>
                <c:ptCount val="2"/>
                <c:pt idx="0">
                  <c:v>6186.48</c:v>
                </c:pt>
                <c:pt idx="1">
                  <c:v>6685.02</c:v>
                </c:pt>
              </c:numCache>
            </c:numRef>
          </c:val>
        </c:ser>
        <c:ser>
          <c:idx val="1"/>
          <c:order val="1"/>
          <c:tx>
            <c:strRef>
              <c:f>[工作簿2]Sheet1!$A$3</c:f>
              <c:strCache>
                <c:ptCount val="1"/>
                <c:pt idx="0">
                  <c:v>2018年收支（万元）</c:v>
                </c:pt>
              </c:strCache>
            </c:strRef>
          </c:tx>
          <c:spPr>
            <a:solidFill>
              <a:srgbClr val="C0504D"/>
            </a:solidFill>
            <a:ln>
              <a:noFill/>
            </a:ln>
            <a:effectLst/>
          </c:spPr>
          <c:invertIfNegative val="0"/>
          <c:dLbls>
            <c:dLbl>
              <c:idx val="0"/>
              <c:layout>
                <c:manualLayout>
                  <c:x val="0.00450112528132033"/>
                  <c:y val="-0.0037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rPr lang="en-US" altLang="zh-CN"/>
                      <a:t>7644.81</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rgbClr val="404040">
                            <a:lumMod val="75000"/>
                            <a:lumOff val="25000"/>
                          </a:srgbClr>
                        </a:solidFill>
                        <a:latin typeface="+mn-lt"/>
                        <a:ea typeface="+mn-ea"/>
                        <a:cs typeface="+mn-cs"/>
                      </a:defRPr>
                    </a:pPr>
                    <a:r>
                      <a:rPr lang="en-US" altLang="zh-CN"/>
                      <a:t>8168.39</a:t>
                    </a:r>
                    <a:endParaRPr lang="en-US" altLang="zh-CN"/>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[工作簿2]Sheet1!$B$1:$C$1</c:f>
              <c:strCache>
                <c:ptCount val="2"/>
                <c:pt idx="0">
                  <c:v>收入</c:v>
                </c:pt>
                <c:pt idx="1">
                  <c:v>支出</c:v>
                </c:pt>
              </c:strCache>
            </c:strRef>
          </c:cat>
          <c:val>
            <c:numRef>
              <c:f>[工作簿2]Sheet1!$B$3:$C$3</c:f>
              <c:numCache>
                <c:formatCode>General</c:formatCode>
                <c:ptCount val="2"/>
                <c:pt idx="0">
                  <c:v>7578.57</c:v>
                </c:pt>
                <c:pt idx="1">
                  <c:v>8102.15</c:v>
                </c:pt>
              </c:numCache>
            </c:numRef>
          </c:val>
        </c:ser>
        <c:dLbls>
          <c:showLegendKey val="0"/>
          <c:showVal val="1"/>
          <c:showCatName val="0"/>
          <c:showSerName val="0"/>
          <c:showPercent val="0"/>
          <c:showBubbleSize val="0"/>
        </c:dLbls>
        <c:gapWidth val="150"/>
        <c:overlap val="100"/>
        <c:axId val="153377916"/>
        <c:axId val="66548791"/>
      </c:barChart>
      <c:catAx>
        <c:axId val="153377916"/>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6548791"/>
        <c:crosses val="autoZero"/>
        <c:auto val="1"/>
        <c:lblAlgn val="ctr"/>
        <c:lblOffset val="100"/>
        <c:noMultiLvlLbl val="0"/>
      </c:catAx>
      <c:valAx>
        <c:axId val="66548791"/>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53377916"/>
        <c:crosses val="autoZero"/>
        <c:crossBetween val="between"/>
      </c:valAx>
      <c:spPr>
        <a:noFill/>
        <a:ln>
          <a:noFill/>
        </a:ln>
        <a:effectLst/>
      </c:spPr>
    </c:plotArea>
    <c:legend>
      <c:legendPos val="b"/>
      <c:layout>
        <c:manualLayout>
          <c:xMode val="edge"/>
          <c:yMode val="edge"/>
          <c:x val="0.250277777777778"/>
          <c:y val="0.894675925925926"/>
          <c:w val="0.570694444444444"/>
          <c:h val="0.072916666666666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Sheet1!$A$2:$A$4</c:f>
              <c:strCache>
                <c:ptCount val="3"/>
                <c:pt idx="0">
                  <c:v>年初预算</c:v>
                </c:pt>
                <c:pt idx="1">
                  <c:v>本年度支出</c:v>
                </c:pt>
                <c:pt idx="2">
                  <c:v>比年初预算增加</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5269.6</c:v>
                </c:pt>
                <c:pt idx="1">
                  <c:v>6732.9</c:v>
                </c:pt>
                <c:pt idx="2">
                  <c:v>1463.3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城乡社区类支出</c:v>
                </c:pt>
                <c:pt idx="1">
                  <c:v>社会保障和就业（类）支出</c:v>
                </c:pt>
                <c:pt idx="2">
                  <c:v>卫生健康（类）支出</c:v>
                </c:pt>
                <c:pt idx="3">
                  <c:v>住房保障（类）支出</c:v>
                </c:pt>
              </c:strCache>
            </c:strRef>
          </c:cat>
          <c:val>
            <c:numRef>
              <c:f>Sheet1!$B$2:$B$5</c:f>
              <c:numCache>
                <c:formatCode>General</c:formatCode>
                <c:ptCount val="4"/>
                <c:pt idx="0">
                  <c:v>6648.12</c:v>
                </c:pt>
                <c:pt idx="1">
                  <c:v>43.08</c:v>
                </c:pt>
                <c:pt idx="2">
                  <c:v>15.69</c:v>
                </c:pt>
                <c:pt idx="3">
                  <c:v>26.01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5284D-DB9A-48EA-8D98-FD5FDE908001}">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39</Pages>
  <Words>1962</Words>
  <Characters>11185</Characters>
  <Lines>93</Lines>
  <Paragraphs>26</Paragraphs>
  <TotalTime>2</TotalTime>
  <ScaleCrop>false</ScaleCrop>
  <LinksUpToDate>false</LinksUpToDate>
  <CharactersWithSpaces>13121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lenovo221</cp:lastModifiedBy>
  <cp:lastPrinted>2020-07-30T02:37:00Z</cp:lastPrinted>
  <dcterms:modified xsi:type="dcterms:W3CDTF">2021-06-03T03:05:25Z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6629044BAE9C433D9729240E4A19A556</vt:lpwstr>
  </property>
</Properties>
</file>